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845A2" w14:textId="77777777" w:rsidR="00664F4B" w:rsidRPr="00883FC5" w:rsidRDefault="00664F4B" w:rsidP="00664F4B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883FC5">
        <w:rPr>
          <w:rFonts w:ascii="Times" w:hAnsi="Times"/>
          <w:b/>
          <w:noProof/>
          <w:szCs w:val="20"/>
        </w:rPr>
        <w:t>Psicologia della salute e comunità</w:t>
      </w:r>
    </w:p>
    <w:p w14:paraId="09742E3F" w14:textId="77777777" w:rsidR="00664F4B" w:rsidRPr="00883FC5" w:rsidRDefault="00664F4B" w:rsidP="00664F4B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883FC5">
        <w:rPr>
          <w:rFonts w:ascii="Times" w:hAnsi="Times"/>
          <w:smallCaps/>
          <w:noProof/>
          <w:sz w:val="18"/>
          <w:szCs w:val="20"/>
        </w:rPr>
        <w:t>Prof. Giovanni Aresi</w:t>
      </w:r>
    </w:p>
    <w:p w14:paraId="491EEAEC" w14:textId="77777777" w:rsidR="00FB0E1C" w:rsidRPr="00883FC5" w:rsidRDefault="00D028D1" w:rsidP="00FB0E1C">
      <w:pPr>
        <w:spacing w:before="240" w:after="120"/>
        <w:rPr>
          <w:rFonts w:eastAsia="MS Mincho"/>
        </w:rPr>
      </w:pPr>
      <w:r w:rsidRPr="00883FC5">
        <w:rPr>
          <w:b/>
          <w:i/>
          <w:noProof/>
          <w:sz w:val="18"/>
        </w:rPr>
        <w:t>OBIETTIVO DEL CORSO</w:t>
      </w:r>
      <w:r w:rsidR="00FB0E1C">
        <w:rPr>
          <w:b/>
          <w:i/>
          <w:noProof/>
          <w:sz w:val="18"/>
        </w:rPr>
        <w:t xml:space="preserve"> E </w:t>
      </w:r>
      <w:r w:rsidR="00FB0E1C" w:rsidRPr="00883FC5">
        <w:rPr>
          <w:b/>
          <w:i/>
          <w:noProof/>
          <w:sz w:val="18"/>
        </w:rPr>
        <w:t>RISULTATI DI APPRENDIMENTO ATTESI</w:t>
      </w:r>
    </w:p>
    <w:p w14:paraId="422736E0" w14:textId="18851C4F" w:rsidR="00D028D1" w:rsidRDefault="00664F4B" w:rsidP="00664F4B">
      <w:pPr>
        <w:rPr>
          <w:rFonts w:eastAsia="MS Mincho"/>
        </w:rPr>
      </w:pPr>
      <w:r w:rsidRPr="00883FC5">
        <w:rPr>
          <w:rFonts w:eastAsia="MS Mincho"/>
        </w:rPr>
        <w:t xml:space="preserve">L'insegnamento si propone di fornire agli studenti le nozioni </w:t>
      </w:r>
      <w:r w:rsidR="00754430" w:rsidRPr="00883FC5">
        <w:rPr>
          <w:rFonts w:eastAsia="MS Mincho"/>
        </w:rPr>
        <w:t>e gli strumenti per poter</w:t>
      </w:r>
      <w:r w:rsidRPr="00883FC5">
        <w:rPr>
          <w:rFonts w:eastAsia="MS Mincho"/>
        </w:rPr>
        <w:t xml:space="preserve"> </w:t>
      </w:r>
      <w:r w:rsidR="00920472" w:rsidRPr="00883FC5">
        <w:rPr>
          <w:rFonts w:eastAsia="MS Mincho"/>
        </w:rPr>
        <w:t>analizzare</w:t>
      </w:r>
      <w:r w:rsidR="00106806">
        <w:rPr>
          <w:rFonts w:eastAsia="MS Mincho"/>
        </w:rPr>
        <w:t xml:space="preserve"> il</w:t>
      </w:r>
      <w:r w:rsidRPr="00883FC5">
        <w:rPr>
          <w:rFonts w:eastAsia="MS Mincho"/>
        </w:rPr>
        <w:t xml:space="preserve"> benessere, come prodotto delle interazioni tra le persone e tra ques</w:t>
      </w:r>
      <w:r w:rsidR="00920472" w:rsidRPr="00883FC5">
        <w:rPr>
          <w:rFonts w:eastAsia="MS Mincho"/>
        </w:rPr>
        <w:t xml:space="preserve">te e le comunità in cui vivono, e di impostare un piano di intervento </w:t>
      </w:r>
      <w:r w:rsidR="003D6E31" w:rsidRPr="00883FC5">
        <w:rPr>
          <w:rFonts w:eastAsia="MS Mincho"/>
        </w:rPr>
        <w:t>di promozione della salute.</w:t>
      </w:r>
    </w:p>
    <w:p w14:paraId="757112BA" w14:textId="77777777" w:rsidR="00B35244" w:rsidRPr="00883FC5" w:rsidRDefault="00B35244" w:rsidP="00B35244">
      <w:pPr>
        <w:spacing w:before="240"/>
        <w:rPr>
          <w:rFonts w:eastAsia="MS Mincho"/>
        </w:rPr>
      </w:pPr>
      <w:r>
        <w:rPr>
          <w:b/>
          <w:i/>
          <w:noProof/>
          <w:sz w:val="18"/>
        </w:rPr>
        <w:t>R</w:t>
      </w:r>
      <w:r w:rsidRPr="00883FC5">
        <w:rPr>
          <w:b/>
          <w:i/>
          <w:noProof/>
          <w:sz w:val="18"/>
        </w:rPr>
        <w:t>isultati di apprendimento attesi</w:t>
      </w:r>
    </w:p>
    <w:p w14:paraId="0DE8643B" w14:textId="77777777" w:rsidR="00754430" w:rsidRPr="00883FC5" w:rsidRDefault="00754430" w:rsidP="00754430">
      <w:pPr>
        <w:spacing w:before="120" w:after="120"/>
        <w:rPr>
          <w:rFonts w:eastAsia="MS Mincho"/>
          <w:i/>
        </w:rPr>
      </w:pPr>
      <w:r w:rsidRPr="00883FC5">
        <w:rPr>
          <w:rFonts w:eastAsia="MS Mincho"/>
          <w:i/>
        </w:rPr>
        <w:t>Conoscenza e comprensione</w:t>
      </w:r>
    </w:p>
    <w:p w14:paraId="2759EC40" w14:textId="77777777" w:rsidR="00754430" w:rsidRPr="00883FC5" w:rsidRDefault="00754430" w:rsidP="00E15D65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eastAsia="MS Mincho"/>
        </w:rPr>
      </w:pPr>
      <w:r w:rsidRPr="00883FC5">
        <w:rPr>
          <w:rFonts w:eastAsia="MS Mincho"/>
        </w:rPr>
        <w:t>Principali modelli teorici e metodologici per la promozione della salute e l'analisi partecipata dei bisogni di salute nei contesti delle comunità territoriali</w:t>
      </w:r>
      <w:r w:rsidR="00E15D65" w:rsidRPr="00883FC5">
        <w:rPr>
          <w:rFonts w:eastAsia="MS Mincho"/>
        </w:rPr>
        <w:t>;</w:t>
      </w:r>
      <w:r w:rsidRPr="00883FC5">
        <w:rPr>
          <w:rFonts w:eastAsia="MS Mincho"/>
        </w:rPr>
        <w:t xml:space="preserve"> </w:t>
      </w:r>
    </w:p>
    <w:p w14:paraId="3FC90B4C" w14:textId="77777777" w:rsidR="00A3043A" w:rsidRPr="00883FC5" w:rsidRDefault="00F64424" w:rsidP="00E15D65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eastAsia="MS Mincho"/>
        </w:rPr>
      </w:pPr>
      <w:r w:rsidRPr="00883FC5">
        <w:rPr>
          <w:rFonts w:eastAsia="MS Mincho"/>
        </w:rPr>
        <w:t>Nozioni di Scienza della Prevenzione e Scienza della Comunità</w:t>
      </w:r>
      <w:r w:rsidR="00A3043A" w:rsidRPr="00883FC5">
        <w:rPr>
          <w:rFonts w:eastAsia="MS Mincho"/>
        </w:rPr>
        <w:t>;</w:t>
      </w:r>
    </w:p>
    <w:p w14:paraId="1EC3375B" w14:textId="77777777" w:rsidR="00E15D65" w:rsidRPr="00883FC5" w:rsidRDefault="00E15D65" w:rsidP="00E15D65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eastAsia="MS Mincho"/>
        </w:rPr>
      </w:pPr>
      <w:r w:rsidRPr="00883FC5">
        <w:rPr>
          <w:rFonts w:eastAsia="MS Mincho"/>
        </w:rPr>
        <w:t xml:space="preserve">Principali approcci e strumenti di progettazione e </w:t>
      </w:r>
      <w:r w:rsidR="00F64424" w:rsidRPr="00883FC5">
        <w:rPr>
          <w:rFonts w:eastAsia="MS Mincho"/>
        </w:rPr>
        <w:t>valutazione sociale</w:t>
      </w:r>
      <w:r w:rsidR="004C4054">
        <w:rPr>
          <w:rFonts w:eastAsia="MS Mincho"/>
        </w:rPr>
        <w:t>.</w:t>
      </w:r>
    </w:p>
    <w:p w14:paraId="422F623E" w14:textId="77777777" w:rsidR="00754430" w:rsidRPr="00883FC5" w:rsidRDefault="00754430" w:rsidP="00754430">
      <w:pPr>
        <w:spacing w:before="120" w:after="120"/>
        <w:rPr>
          <w:rFonts w:eastAsia="MS Mincho"/>
          <w:i/>
        </w:rPr>
      </w:pPr>
      <w:r w:rsidRPr="00883FC5">
        <w:rPr>
          <w:rFonts w:eastAsia="MS Mincho"/>
          <w:i/>
        </w:rPr>
        <w:t>Capacità di applicare conoscenza e comprensione</w:t>
      </w:r>
    </w:p>
    <w:p w14:paraId="2ED8C99A" w14:textId="77777777" w:rsidR="00F64424" w:rsidRPr="00883FC5" w:rsidRDefault="00F64424" w:rsidP="00F64424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eastAsia="MS Mincho"/>
        </w:rPr>
      </w:pPr>
      <w:r w:rsidRPr="00883FC5">
        <w:rPr>
          <w:rFonts w:eastAsia="MS Mincho"/>
        </w:rPr>
        <w:t>Applicare la ricognizione sociale</w:t>
      </w:r>
      <w:r w:rsidR="00003797" w:rsidRPr="00883FC5">
        <w:rPr>
          <w:rFonts w:eastAsia="MS Mincho"/>
        </w:rPr>
        <w:t xml:space="preserve"> come strumento</w:t>
      </w:r>
      <w:r w:rsidR="003D6E31" w:rsidRPr="00883FC5">
        <w:rPr>
          <w:rFonts w:eastAsia="MS Mincho"/>
        </w:rPr>
        <w:t xml:space="preserve"> partecipato</w:t>
      </w:r>
      <w:r w:rsidR="00003797" w:rsidRPr="00883FC5">
        <w:rPr>
          <w:rFonts w:eastAsia="MS Mincho"/>
        </w:rPr>
        <w:t xml:space="preserve"> di </w:t>
      </w:r>
      <w:proofErr w:type="spellStart"/>
      <w:r w:rsidR="00003797" w:rsidRPr="00883FC5">
        <w:rPr>
          <w:rFonts w:eastAsia="MS Mincho"/>
        </w:rPr>
        <w:t>assessment</w:t>
      </w:r>
      <w:proofErr w:type="spellEnd"/>
      <w:r w:rsidR="003D6E31" w:rsidRPr="00883FC5">
        <w:rPr>
          <w:rFonts w:eastAsia="MS Mincho"/>
        </w:rPr>
        <w:t xml:space="preserve"> di comunità</w:t>
      </w:r>
      <w:r w:rsidR="00003797" w:rsidRPr="00883FC5">
        <w:rPr>
          <w:rFonts w:eastAsia="MS Mincho"/>
        </w:rPr>
        <w:t>,</w:t>
      </w:r>
      <w:r w:rsidRPr="00883FC5">
        <w:rPr>
          <w:rFonts w:eastAsia="MS Mincho"/>
        </w:rPr>
        <w:t xml:space="preserve"> e un approccio comprensivo e sistematico per la progettazione dei programmi di promozione della salute nelle comunità locali;</w:t>
      </w:r>
    </w:p>
    <w:p w14:paraId="4DBAF40F" w14:textId="77777777" w:rsidR="00077DBC" w:rsidRPr="00883FC5" w:rsidRDefault="00077DBC" w:rsidP="00077DBC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eastAsia="MS Mincho"/>
        </w:rPr>
      </w:pPr>
      <w:r w:rsidRPr="00883FC5">
        <w:rPr>
          <w:rFonts w:eastAsia="MS Mincho"/>
        </w:rPr>
        <w:t>Analizzare criticamente un articolo scientifico che descrive un intervento di promozione della salute</w:t>
      </w:r>
      <w:r w:rsidR="00003797" w:rsidRPr="00883FC5">
        <w:rPr>
          <w:rFonts w:eastAsia="MS Mincho"/>
        </w:rPr>
        <w:t xml:space="preserve"> </w:t>
      </w:r>
      <w:r w:rsidR="00AD75AD" w:rsidRPr="00883FC5">
        <w:rPr>
          <w:rFonts w:eastAsia="MS Mincho"/>
        </w:rPr>
        <w:t xml:space="preserve">valutando </w:t>
      </w:r>
      <w:r w:rsidR="00AD75AD" w:rsidRPr="00883FC5">
        <w:t>la</w:t>
      </w:r>
      <w:r w:rsidR="00003797" w:rsidRPr="00883FC5">
        <w:t xml:space="preserve"> qualità, l'efficacia e l'appropriatezza di quest'ultimo</w:t>
      </w:r>
      <w:r w:rsidRPr="00883FC5">
        <w:rPr>
          <w:rFonts w:eastAsia="MS Mincho"/>
        </w:rPr>
        <w:t>;</w:t>
      </w:r>
    </w:p>
    <w:p w14:paraId="1831B87F" w14:textId="77777777" w:rsidR="003D6E31" w:rsidRPr="00883FC5" w:rsidRDefault="00A3043A" w:rsidP="00754430">
      <w:pPr>
        <w:numPr>
          <w:ilvl w:val="0"/>
          <w:numId w:val="1"/>
        </w:numPr>
        <w:tabs>
          <w:tab w:val="clear" w:pos="284"/>
        </w:tabs>
        <w:spacing w:before="120"/>
        <w:ind w:left="284" w:hanging="284"/>
        <w:contextualSpacing/>
        <w:rPr>
          <w:rFonts w:eastAsia="MS Mincho"/>
        </w:rPr>
      </w:pPr>
      <w:r w:rsidRPr="00883FC5">
        <w:rPr>
          <w:rFonts w:eastAsia="MS Mincho"/>
        </w:rPr>
        <w:t>Stendere un piano di progettazione e valutazione sociale</w:t>
      </w:r>
      <w:r w:rsidR="003D6E31" w:rsidRPr="00883FC5">
        <w:rPr>
          <w:rFonts w:eastAsia="MS Mincho"/>
        </w:rPr>
        <w:t>;</w:t>
      </w:r>
    </w:p>
    <w:p w14:paraId="467F99D5" w14:textId="77777777" w:rsidR="00754430" w:rsidRPr="00883FC5" w:rsidRDefault="003D6E31" w:rsidP="00754430">
      <w:pPr>
        <w:numPr>
          <w:ilvl w:val="0"/>
          <w:numId w:val="1"/>
        </w:numPr>
        <w:tabs>
          <w:tab w:val="clear" w:pos="284"/>
        </w:tabs>
        <w:spacing w:before="120"/>
        <w:ind w:left="284" w:hanging="284"/>
        <w:contextualSpacing/>
        <w:rPr>
          <w:rFonts w:eastAsia="MS Mincho"/>
        </w:rPr>
      </w:pPr>
      <w:r w:rsidRPr="00883FC5">
        <w:rPr>
          <w:rFonts w:eastAsia="MS Mincho"/>
        </w:rPr>
        <w:t>Individuare gli elementi chiave di un bando di finanziamento</w:t>
      </w:r>
      <w:r w:rsidR="00A3043A" w:rsidRPr="00883FC5">
        <w:rPr>
          <w:rFonts w:eastAsia="MS Mincho"/>
        </w:rPr>
        <w:t>.</w:t>
      </w:r>
    </w:p>
    <w:p w14:paraId="283D54FA" w14:textId="77777777" w:rsidR="00003797" w:rsidRPr="00883FC5" w:rsidRDefault="00003797" w:rsidP="00077DBC">
      <w:pPr>
        <w:spacing w:before="120" w:after="120"/>
        <w:rPr>
          <w:rFonts w:eastAsia="MS Mincho"/>
          <w:i/>
        </w:rPr>
      </w:pPr>
      <w:r w:rsidRPr="00883FC5">
        <w:rPr>
          <w:rFonts w:eastAsia="MS Mincho"/>
          <w:i/>
        </w:rPr>
        <w:t>Autonomia di giudizio</w:t>
      </w:r>
    </w:p>
    <w:p w14:paraId="53F1B111" w14:textId="77777777" w:rsidR="00003797" w:rsidRPr="00883FC5" w:rsidRDefault="0010086F" w:rsidP="0010086F">
      <w:pPr>
        <w:numPr>
          <w:ilvl w:val="0"/>
          <w:numId w:val="1"/>
        </w:numPr>
        <w:tabs>
          <w:tab w:val="clear" w:pos="284"/>
        </w:tabs>
        <w:spacing w:before="120"/>
        <w:ind w:left="284" w:hanging="284"/>
        <w:contextualSpacing/>
        <w:rPr>
          <w:rFonts w:eastAsia="MS Mincho"/>
          <w:i/>
        </w:rPr>
      </w:pPr>
      <w:r w:rsidRPr="00883FC5">
        <w:t>Formulare giudizi in modo autonomo e critico sulle migliori strategie di analisi e intervento per la promozione del benessere e della salute nei contesti comunitari.</w:t>
      </w:r>
    </w:p>
    <w:p w14:paraId="7A22C67E" w14:textId="77777777" w:rsidR="00754430" w:rsidRPr="00883FC5" w:rsidRDefault="00754430" w:rsidP="00077DBC">
      <w:pPr>
        <w:spacing w:before="120" w:after="120"/>
        <w:rPr>
          <w:rFonts w:eastAsia="MS Mincho"/>
          <w:i/>
        </w:rPr>
      </w:pPr>
      <w:r w:rsidRPr="00883FC5">
        <w:rPr>
          <w:rFonts w:eastAsia="MS Mincho"/>
          <w:i/>
        </w:rPr>
        <w:t>Abilità comunicative</w:t>
      </w:r>
    </w:p>
    <w:p w14:paraId="2325D081" w14:textId="77777777" w:rsidR="0010086F" w:rsidRPr="00883FC5" w:rsidRDefault="0010086F" w:rsidP="0010086F">
      <w:pPr>
        <w:numPr>
          <w:ilvl w:val="0"/>
          <w:numId w:val="1"/>
        </w:numPr>
        <w:tabs>
          <w:tab w:val="clear" w:pos="284"/>
        </w:tabs>
        <w:spacing w:before="120"/>
        <w:ind w:left="284" w:hanging="284"/>
        <w:contextualSpacing/>
        <w:rPr>
          <w:rFonts w:eastAsia="MS Mincho"/>
        </w:rPr>
      </w:pPr>
      <w:r w:rsidRPr="00883FC5">
        <w:t>Comunicare efficacemente con committenti e utenti dei propri interventi nei contesti comunitari.</w:t>
      </w:r>
    </w:p>
    <w:p w14:paraId="7CBC9ABC" w14:textId="77777777" w:rsidR="00664F4B" w:rsidRPr="00883FC5" w:rsidRDefault="00664F4B" w:rsidP="00664F4B">
      <w:pPr>
        <w:spacing w:before="240" w:after="120"/>
        <w:rPr>
          <w:b/>
          <w:noProof/>
          <w:sz w:val="18"/>
        </w:rPr>
      </w:pPr>
      <w:r w:rsidRPr="00883FC5">
        <w:rPr>
          <w:b/>
          <w:i/>
          <w:noProof/>
          <w:sz w:val="18"/>
        </w:rPr>
        <w:t>PROGRAMMA DEL CORSO</w:t>
      </w:r>
    </w:p>
    <w:p w14:paraId="6A890F23" w14:textId="77777777" w:rsidR="001855E2" w:rsidRPr="00883FC5" w:rsidRDefault="00664F4B" w:rsidP="00664F4B">
      <w:pPr>
        <w:rPr>
          <w:rFonts w:eastAsia="MS Mincho"/>
        </w:rPr>
      </w:pPr>
      <w:r w:rsidRPr="00883FC5">
        <w:rPr>
          <w:rFonts w:eastAsia="MS Mincho"/>
        </w:rPr>
        <w:lastRenderedPageBreak/>
        <w:t xml:space="preserve">Il corso </w:t>
      </w:r>
      <w:r w:rsidR="001855E2" w:rsidRPr="00883FC5">
        <w:rPr>
          <w:rFonts w:eastAsia="MS Mincho"/>
        </w:rPr>
        <w:t>si articolerà secondo i seguenti moduli</w:t>
      </w:r>
      <w:r w:rsidR="00F64424" w:rsidRPr="00883FC5">
        <w:rPr>
          <w:rFonts w:eastAsia="MS Mincho"/>
        </w:rPr>
        <w:t xml:space="preserve"> e unità</w:t>
      </w:r>
      <w:r w:rsidR="001855E2" w:rsidRPr="00883FC5">
        <w:rPr>
          <w:rFonts w:eastAsia="MS Mincho"/>
        </w:rPr>
        <w:t>:</w:t>
      </w:r>
    </w:p>
    <w:p w14:paraId="2716A0D6" w14:textId="77777777" w:rsidR="005C624C" w:rsidRPr="00883FC5" w:rsidRDefault="005C624C" w:rsidP="001855E2">
      <w:pPr>
        <w:ind w:left="284" w:hanging="284"/>
        <w:rPr>
          <w:rFonts w:eastAsia="MS Mincho"/>
        </w:rPr>
      </w:pPr>
    </w:p>
    <w:p w14:paraId="2A24F388" w14:textId="77777777" w:rsidR="001855E2" w:rsidRPr="00883FC5" w:rsidRDefault="001855E2" w:rsidP="001855E2">
      <w:pPr>
        <w:ind w:left="284" w:hanging="284"/>
        <w:rPr>
          <w:rFonts w:eastAsia="MS Mincho"/>
        </w:rPr>
      </w:pPr>
      <w:r w:rsidRPr="00883FC5">
        <w:rPr>
          <w:rFonts w:eastAsia="MS Mincho"/>
        </w:rPr>
        <w:t>MODULO 1</w:t>
      </w:r>
    </w:p>
    <w:p w14:paraId="669F6E50" w14:textId="77777777" w:rsidR="001855E2" w:rsidRPr="00883FC5" w:rsidRDefault="001855E2" w:rsidP="001855E2">
      <w:pPr>
        <w:ind w:left="284" w:hanging="284"/>
        <w:rPr>
          <w:rFonts w:eastAsia="MS Mincho"/>
        </w:rPr>
      </w:pPr>
      <w:r w:rsidRPr="00883FC5">
        <w:rPr>
          <w:rFonts w:eastAsia="MS Mincho"/>
        </w:rPr>
        <w:t>Unità 1</w:t>
      </w:r>
      <w:r w:rsidR="00AB235B" w:rsidRPr="00883FC5">
        <w:rPr>
          <w:rFonts w:eastAsia="MS Mincho"/>
        </w:rPr>
        <w:t>: principali modelli teorici, approcci e metodologie per la promozione della salute all’interno della p</w:t>
      </w:r>
      <w:r w:rsidR="004C4054">
        <w:rPr>
          <w:rFonts w:eastAsia="MS Mincho"/>
        </w:rPr>
        <w:t>sicologia di salute di comunità</w:t>
      </w:r>
    </w:p>
    <w:p w14:paraId="0D57DEF6" w14:textId="77777777" w:rsidR="007B033C" w:rsidRPr="00883FC5" w:rsidRDefault="007B033C" w:rsidP="007B033C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eastAsia="MS Mincho"/>
        </w:rPr>
      </w:pPr>
      <w:r w:rsidRPr="00883FC5">
        <w:rPr>
          <w:rFonts w:eastAsia="MS Mincho"/>
        </w:rPr>
        <w:t>Fondamenti di promozione della salute;</w:t>
      </w:r>
    </w:p>
    <w:p w14:paraId="7F114C6B" w14:textId="77777777" w:rsidR="007B033C" w:rsidRPr="00883FC5" w:rsidRDefault="007B033C" w:rsidP="007B033C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eastAsia="MS Mincho"/>
        </w:rPr>
      </w:pPr>
      <w:r w:rsidRPr="00883FC5">
        <w:rPr>
          <w:rFonts w:eastAsia="MS Mincho"/>
        </w:rPr>
        <w:t>Approccio socio-ecologico e psic</w:t>
      </w:r>
      <w:r w:rsidR="00745DBF" w:rsidRPr="00883FC5">
        <w:rPr>
          <w:rFonts w:eastAsia="MS Mincho"/>
        </w:rPr>
        <w:t>ologia della salute di comunità;</w:t>
      </w:r>
    </w:p>
    <w:p w14:paraId="55ADA8E5" w14:textId="77777777" w:rsidR="007B033C" w:rsidRPr="00883FC5" w:rsidRDefault="007B033C" w:rsidP="007B033C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eastAsia="MS Mincho"/>
        </w:rPr>
      </w:pPr>
      <w:r w:rsidRPr="00883FC5">
        <w:rPr>
          <w:rFonts w:eastAsia="MS Mincho"/>
        </w:rPr>
        <w:t>Concetti di comunità</w:t>
      </w:r>
      <w:r w:rsidR="00745DBF" w:rsidRPr="00883FC5">
        <w:rPr>
          <w:rFonts w:eastAsia="MS Mincho"/>
        </w:rPr>
        <w:t xml:space="preserve"> locale, partecipazione ed</w:t>
      </w:r>
      <w:r w:rsidRPr="00883FC5">
        <w:rPr>
          <w:rFonts w:eastAsia="MS Mincho"/>
        </w:rPr>
        <w:t xml:space="preserve"> empowerment.</w:t>
      </w:r>
    </w:p>
    <w:p w14:paraId="02353522" w14:textId="77777777" w:rsidR="006969E4" w:rsidRPr="00883FC5" w:rsidRDefault="001855E2" w:rsidP="00AD75AD">
      <w:pPr>
        <w:spacing w:before="120"/>
        <w:ind w:left="284" w:hanging="284"/>
        <w:rPr>
          <w:rFonts w:eastAsia="MS Mincho"/>
        </w:rPr>
      </w:pPr>
      <w:r w:rsidRPr="00883FC5">
        <w:rPr>
          <w:rFonts w:eastAsia="MS Mincho"/>
        </w:rPr>
        <w:t>Unità 2:</w:t>
      </w:r>
      <w:r w:rsidR="00AB235B" w:rsidRPr="00883FC5">
        <w:rPr>
          <w:rFonts w:eastAsia="MS Mincho"/>
        </w:rPr>
        <w:t xml:space="preserve"> </w:t>
      </w:r>
      <w:r w:rsidR="006969E4" w:rsidRPr="00883FC5">
        <w:rPr>
          <w:rFonts w:eastAsia="MS Mincho"/>
        </w:rPr>
        <w:t xml:space="preserve">Approcci e </w:t>
      </w:r>
      <w:r w:rsidR="00AB235B" w:rsidRPr="00883FC5">
        <w:rPr>
          <w:rFonts w:eastAsia="MS Mincho"/>
        </w:rPr>
        <w:t>metod</w:t>
      </w:r>
      <w:r w:rsidR="006969E4" w:rsidRPr="00883FC5">
        <w:rPr>
          <w:rFonts w:eastAsia="MS Mincho"/>
        </w:rPr>
        <w:t>i</w:t>
      </w:r>
      <w:r w:rsidR="00AB235B" w:rsidRPr="00883FC5">
        <w:rPr>
          <w:rFonts w:eastAsia="MS Mincho"/>
        </w:rPr>
        <w:t xml:space="preserve"> per l'analisi dei bisogni di salute della popola</w:t>
      </w:r>
      <w:r w:rsidR="006969E4" w:rsidRPr="00883FC5">
        <w:rPr>
          <w:rFonts w:eastAsia="MS Mincho"/>
        </w:rPr>
        <w:t>zione e dei fattori di rischio</w:t>
      </w:r>
    </w:p>
    <w:p w14:paraId="4E4407F5" w14:textId="77777777" w:rsidR="00AB235B" w:rsidRPr="00883FC5" w:rsidRDefault="007B033C" w:rsidP="007B033C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eastAsia="MS Mincho"/>
        </w:rPr>
      </w:pPr>
      <w:r w:rsidRPr="00883FC5">
        <w:rPr>
          <w:rFonts w:eastAsia="MS Mincho"/>
        </w:rPr>
        <w:t>R</w:t>
      </w:r>
      <w:r w:rsidR="00AB235B" w:rsidRPr="00883FC5">
        <w:rPr>
          <w:rFonts w:eastAsia="MS Mincho"/>
        </w:rPr>
        <w:t>icerca-azione;</w:t>
      </w:r>
    </w:p>
    <w:p w14:paraId="22F21B19" w14:textId="77777777" w:rsidR="007B033C" w:rsidRPr="00883FC5" w:rsidRDefault="007B033C" w:rsidP="007B033C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eastAsia="MS Mincho"/>
        </w:rPr>
      </w:pPr>
      <w:r w:rsidRPr="00883FC5">
        <w:rPr>
          <w:rFonts w:eastAsia="MS Mincho"/>
        </w:rPr>
        <w:t>Strumenti per conoscere una comunità;</w:t>
      </w:r>
    </w:p>
    <w:p w14:paraId="3D065770" w14:textId="77777777" w:rsidR="00AB235B" w:rsidRPr="00883FC5" w:rsidRDefault="007B033C" w:rsidP="001855E2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eastAsia="MS Mincho"/>
        </w:rPr>
      </w:pPr>
      <w:r w:rsidRPr="00883FC5">
        <w:rPr>
          <w:rFonts w:eastAsia="MS Mincho"/>
        </w:rPr>
        <w:t>Ricognizione sociale.</w:t>
      </w:r>
    </w:p>
    <w:p w14:paraId="375536DC" w14:textId="77777777" w:rsidR="00AB235B" w:rsidRPr="00883FC5" w:rsidRDefault="00AB235B" w:rsidP="001855E2">
      <w:pPr>
        <w:ind w:left="284" w:hanging="284"/>
        <w:rPr>
          <w:rFonts w:eastAsia="MS Mincho"/>
        </w:rPr>
      </w:pPr>
    </w:p>
    <w:p w14:paraId="5B266139" w14:textId="77777777" w:rsidR="00F64424" w:rsidRPr="00883FC5" w:rsidRDefault="00F64424" w:rsidP="00F64424">
      <w:pPr>
        <w:ind w:left="284" w:hanging="284"/>
        <w:rPr>
          <w:rFonts w:eastAsia="MS Mincho"/>
        </w:rPr>
      </w:pPr>
      <w:r w:rsidRPr="00883FC5">
        <w:rPr>
          <w:rFonts w:eastAsia="MS Mincho"/>
        </w:rPr>
        <w:t>MODULO 2</w:t>
      </w:r>
    </w:p>
    <w:p w14:paraId="6A6CB699" w14:textId="77777777" w:rsidR="00986656" w:rsidRPr="00883FC5" w:rsidRDefault="00F64424" w:rsidP="00F64424">
      <w:pPr>
        <w:ind w:left="284" w:hanging="284"/>
        <w:rPr>
          <w:rFonts w:eastAsia="MS Mincho"/>
        </w:rPr>
      </w:pPr>
      <w:r w:rsidRPr="00883FC5">
        <w:rPr>
          <w:rFonts w:eastAsia="MS Mincho"/>
        </w:rPr>
        <w:t>Unità 1</w:t>
      </w:r>
      <w:r w:rsidR="00AB235B" w:rsidRPr="00883FC5">
        <w:rPr>
          <w:rFonts w:eastAsia="MS Mincho"/>
        </w:rPr>
        <w:t xml:space="preserve">: </w:t>
      </w:r>
      <w:r w:rsidR="00986656" w:rsidRPr="00883FC5">
        <w:rPr>
          <w:rFonts w:eastAsia="MS Mincho"/>
        </w:rPr>
        <w:t>Prevenzione nelle comunità locali</w:t>
      </w:r>
    </w:p>
    <w:p w14:paraId="67A60530" w14:textId="77777777" w:rsidR="00986656" w:rsidRPr="00883FC5" w:rsidRDefault="00986656" w:rsidP="00F64424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eastAsia="MS Mincho"/>
        </w:rPr>
      </w:pPr>
      <w:r w:rsidRPr="00883FC5">
        <w:rPr>
          <w:rFonts w:eastAsia="MS Mincho"/>
        </w:rPr>
        <w:t>Elementi chiave per interventi di successo nella comunità locali;</w:t>
      </w:r>
    </w:p>
    <w:p w14:paraId="6721FB12" w14:textId="77777777" w:rsidR="00F64424" w:rsidRPr="00883FC5" w:rsidRDefault="00986656" w:rsidP="00F64424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eastAsia="MS Mincho"/>
        </w:rPr>
      </w:pPr>
      <w:r w:rsidRPr="00883FC5">
        <w:rPr>
          <w:rFonts w:eastAsia="MS Mincho"/>
        </w:rPr>
        <w:t xml:space="preserve">Natura, potenzialità e limiti della </w:t>
      </w:r>
      <w:r w:rsidR="00AB235B" w:rsidRPr="00883FC5">
        <w:rPr>
          <w:rFonts w:eastAsia="MS Mincho"/>
        </w:rPr>
        <w:t>Scienza della Prevenzione</w:t>
      </w:r>
      <w:r w:rsidR="00745DBF" w:rsidRPr="00883FC5">
        <w:rPr>
          <w:rFonts w:eastAsia="MS Mincho"/>
        </w:rPr>
        <w:t>.</w:t>
      </w:r>
    </w:p>
    <w:p w14:paraId="1DA9CC50" w14:textId="77777777" w:rsidR="00F64424" w:rsidRPr="00883FC5" w:rsidRDefault="00F64424" w:rsidP="00AD75AD">
      <w:pPr>
        <w:spacing w:before="120"/>
        <w:ind w:left="284" w:hanging="284"/>
        <w:rPr>
          <w:rFonts w:eastAsia="MS Mincho"/>
          <w:i/>
        </w:rPr>
      </w:pPr>
      <w:r w:rsidRPr="00883FC5">
        <w:rPr>
          <w:rFonts w:eastAsia="MS Mincho"/>
        </w:rPr>
        <w:t>Unità 2:</w:t>
      </w:r>
      <w:r w:rsidR="00986656" w:rsidRPr="00883FC5">
        <w:rPr>
          <w:rFonts w:eastAsia="MS Mincho"/>
        </w:rPr>
        <w:t xml:space="preserve"> Scienza della Comunità</w:t>
      </w:r>
    </w:p>
    <w:p w14:paraId="160FECAF" w14:textId="77777777" w:rsidR="00986656" w:rsidRPr="00883FC5" w:rsidRDefault="00F53E66" w:rsidP="00986656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eastAsia="MS Mincho"/>
        </w:rPr>
      </w:pPr>
      <w:r w:rsidRPr="00883FC5">
        <w:rPr>
          <w:rFonts w:eastAsia="MS Mincho"/>
        </w:rPr>
        <w:t>Elementi di Scienza della Comunità;</w:t>
      </w:r>
    </w:p>
    <w:p w14:paraId="7BF7C452" w14:textId="77777777" w:rsidR="00986656" w:rsidRPr="00883FC5" w:rsidRDefault="00986656" w:rsidP="00986656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eastAsia="MS Mincho"/>
        </w:rPr>
      </w:pPr>
      <w:proofErr w:type="spellStart"/>
      <w:r w:rsidRPr="00883FC5">
        <w:rPr>
          <w:rFonts w:eastAsia="MS Mincho"/>
          <w:i/>
        </w:rPr>
        <w:t>Getting</w:t>
      </w:r>
      <w:proofErr w:type="spellEnd"/>
      <w:r w:rsidRPr="00883FC5">
        <w:rPr>
          <w:rFonts w:eastAsia="MS Mincho"/>
          <w:i/>
        </w:rPr>
        <w:t xml:space="preserve"> to </w:t>
      </w:r>
      <w:proofErr w:type="spellStart"/>
      <w:r w:rsidRPr="00883FC5">
        <w:rPr>
          <w:rFonts w:eastAsia="MS Mincho"/>
          <w:i/>
        </w:rPr>
        <w:t>Outcomes</w:t>
      </w:r>
      <w:proofErr w:type="spellEnd"/>
      <w:r w:rsidRPr="00883FC5">
        <w:rPr>
          <w:rFonts w:eastAsia="MS Mincho"/>
          <w:i/>
        </w:rPr>
        <w:t>.</w:t>
      </w:r>
    </w:p>
    <w:p w14:paraId="6B337A51" w14:textId="77777777" w:rsidR="00AB235B" w:rsidRPr="00883FC5" w:rsidRDefault="00AB235B" w:rsidP="00F64424">
      <w:pPr>
        <w:ind w:left="284" w:hanging="284"/>
        <w:rPr>
          <w:rFonts w:eastAsia="MS Mincho"/>
        </w:rPr>
      </w:pPr>
    </w:p>
    <w:p w14:paraId="30E8716F" w14:textId="77777777" w:rsidR="00F64424" w:rsidRPr="00883FC5" w:rsidRDefault="00F64424" w:rsidP="00F64424">
      <w:pPr>
        <w:ind w:left="284" w:hanging="284"/>
        <w:rPr>
          <w:rFonts w:eastAsia="MS Mincho"/>
        </w:rPr>
      </w:pPr>
      <w:r w:rsidRPr="00883FC5">
        <w:rPr>
          <w:rFonts w:eastAsia="MS Mincho"/>
        </w:rPr>
        <w:t>MODULO 3</w:t>
      </w:r>
    </w:p>
    <w:p w14:paraId="60547A7A" w14:textId="77777777" w:rsidR="00F64424" w:rsidRPr="00883FC5" w:rsidRDefault="00F64424" w:rsidP="00F64424">
      <w:pPr>
        <w:ind w:left="284" w:hanging="284"/>
        <w:rPr>
          <w:rFonts w:eastAsia="MS Mincho"/>
        </w:rPr>
      </w:pPr>
      <w:r w:rsidRPr="00883FC5">
        <w:rPr>
          <w:rFonts w:eastAsia="MS Mincho"/>
        </w:rPr>
        <w:t xml:space="preserve">Unità 1: </w:t>
      </w:r>
      <w:r w:rsidR="00F53E66" w:rsidRPr="00883FC5">
        <w:rPr>
          <w:rFonts w:eastAsia="MS Mincho"/>
        </w:rPr>
        <w:t>P</w:t>
      </w:r>
      <w:r w:rsidRPr="00883FC5">
        <w:rPr>
          <w:rFonts w:eastAsia="MS Mincho"/>
        </w:rPr>
        <w:t>rogettazione</w:t>
      </w:r>
      <w:r w:rsidR="00F53E66" w:rsidRPr="00883FC5">
        <w:rPr>
          <w:rFonts w:eastAsia="MS Mincho"/>
        </w:rPr>
        <w:t xml:space="preserve"> </w:t>
      </w:r>
      <w:r w:rsidR="003D6E31" w:rsidRPr="00883FC5">
        <w:rPr>
          <w:rFonts w:eastAsia="MS Mincho"/>
        </w:rPr>
        <w:t xml:space="preserve">sociale </w:t>
      </w:r>
      <w:r w:rsidR="00F53E66" w:rsidRPr="00883FC5">
        <w:rPr>
          <w:rFonts w:eastAsia="MS Mincho"/>
        </w:rPr>
        <w:t>e valutazione</w:t>
      </w:r>
    </w:p>
    <w:p w14:paraId="23EB7B48" w14:textId="77777777" w:rsidR="00DF5534" w:rsidRPr="00883FC5" w:rsidRDefault="00DF5534" w:rsidP="00DF5534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eastAsia="MS Mincho"/>
        </w:rPr>
      </w:pPr>
      <w:r w:rsidRPr="00883FC5">
        <w:rPr>
          <w:rFonts w:eastAsia="MS Mincho"/>
        </w:rPr>
        <w:t>Approcci, metodi e strumenti di progettazione sociale;</w:t>
      </w:r>
    </w:p>
    <w:p w14:paraId="1BE52E48" w14:textId="77777777" w:rsidR="00DF5534" w:rsidRPr="00883FC5" w:rsidRDefault="00DF5534" w:rsidP="007350D4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eastAsia="MS Mincho"/>
        </w:rPr>
      </w:pPr>
      <w:r w:rsidRPr="00883FC5">
        <w:rPr>
          <w:rFonts w:eastAsia="MS Mincho"/>
        </w:rPr>
        <w:t>Approcci, metodi e strumenti di valutazione di progetti;</w:t>
      </w:r>
    </w:p>
    <w:p w14:paraId="422D51AE" w14:textId="77777777" w:rsidR="00664F4B" w:rsidRPr="00883FC5" w:rsidRDefault="003D6E31" w:rsidP="007350D4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eastAsia="MS Mincho"/>
        </w:rPr>
      </w:pPr>
      <w:r w:rsidRPr="00883FC5">
        <w:rPr>
          <w:rFonts w:eastAsia="MS Mincho"/>
        </w:rPr>
        <w:t>N</w:t>
      </w:r>
      <w:r w:rsidR="00F64424" w:rsidRPr="00883FC5">
        <w:rPr>
          <w:rFonts w:eastAsia="MS Mincho"/>
        </w:rPr>
        <w:t xml:space="preserve">ozioni basilari di </w:t>
      </w:r>
      <w:r w:rsidR="00664F4B" w:rsidRPr="00883FC5">
        <w:rPr>
          <w:rFonts w:eastAsia="MS Mincho"/>
        </w:rPr>
        <w:t>progettazione su bando di finanziamento.</w:t>
      </w:r>
    </w:p>
    <w:p w14:paraId="5FA34BAA" w14:textId="32472295" w:rsidR="00664F4B" w:rsidRPr="00883FC5" w:rsidRDefault="00664F4B" w:rsidP="007350D4">
      <w:pPr>
        <w:spacing w:before="240" w:after="120"/>
        <w:rPr>
          <w:b/>
          <w:i/>
          <w:noProof/>
          <w:sz w:val="18"/>
        </w:rPr>
      </w:pPr>
      <w:r w:rsidRPr="00883FC5">
        <w:rPr>
          <w:b/>
          <w:i/>
          <w:noProof/>
          <w:sz w:val="18"/>
        </w:rPr>
        <w:t>BIBLIOGRAFIA</w:t>
      </w:r>
      <w:r w:rsidR="00323DE7">
        <w:rPr>
          <w:rStyle w:val="Rimandonotaapidipagina"/>
          <w:b/>
          <w:i/>
          <w:noProof/>
          <w:sz w:val="18"/>
        </w:rPr>
        <w:footnoteReference w:id="1"/>
      </w:r>
    </w:p>
    <w:p w14:paraId="169A8F3A" w14:textId="67F253E3" w:rsidR="00BC2DB0" w:rsidRPr="00323DE7" w:rsidRDefault="00BC2DB0" w:rsidP="00323DE7">
      <w:r w:rsidRPr="00323DE7">
        <w:rPr>
          <w:smallCaps/>
          <w:sz w:val="18"/>
          <w:szCs w:val="18"/>
        </w:rPr>
        <w:t>N. De Piccoli</w:t>
      </w:r>
      <w:r w:rsidRPr="00323DE7">
        <w:rPr>
          <w:smallCaps/>
          <w:spacing w:val="-5"/>
          <w:sz w:val="18"/>
          <w:szCs w:val="18"/>
        </w:rPr>
        <w:t xml:space="preserve">, </w:t>
      </w:r>
      <w:r w:rsidRPr="00323DE7">
        <w:rPr>
          <w:i/>
          <w:spacing w:val="-5"/>
          <w:sz w:val="18"/>
          <w:szCs w:val="18"/>
        </w:rPr>
        <w:t>Salute e qualità della vita nella società del benessere. Prospettive interdisciplinari,</w:t>
      </w:r>
      <w:r w:rsidRPr="00323DE7">
        <w:rPr>
          <w:spacing w:val="-5"/>
          <w:sz w:val="18"/>
          <w:szCs w:val="18"/>
        </w:rPr>
        <w:t xml:space="preserve"> Carocci, Roma, 2014.</w:t>
      </w:r>
      <w:r w:rsidR="00BE062E" w:rsidRPr="00323DE7">
        <w:rPr>
          <w:spacing w:val="-5"/>
          <w:sz w:val="18"/>
          <w:szCs w:val="18"/>
        </w:rPr>
        <w:t xml:space="preserve"> Solo parte prima (Salute, equità e benessere).</w:t>
      </w:r>
      <w:r w:rsidR="00323DE7" w:rsidRPr="00323DE7">
        <w:rPr>
          <w:i/>
          <w:sz w:val="16"/>
          <w:szCs w:val="16"/>
        </w:rPr>
        <w:t xml:space="preserve"> </w:t>
      </w:r>
      <w:hyperlink r:id="rId9" w:history="1">
        <w:r w:rsidR="00323DE7" w:rsidRPr="00323DE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2756F13" w14:textId="77777777" w:rsidR="00BC2DB0" w:rsidRPr="00883FC5" w:rsidRDefault="00BC2DB0" w:rsidP="00BC2DB0">
      <w:pPr>
        <w:pStyle w:val="Testo2"/>
        <w:spacing w:line="240" w:lineRule="atLeast"/>
        <w:ind w:left="284" w:hanging="284"/>
        <w:rPr>
          <w:spacing w:val="-5"/>
          <w:szCs w:val="16"/>
          <w:lang w:val="en-US"/>
        </w:rPr>
      </w:pPr>
      <w:r w:rsidRPr="00883FC5">
        <w:rPr>
          <w:smallCaps/>
          <w:sz w:val="16"/>
          <w:szCs w:val="16"/>
          <w:lang w:val="en-US"/>
        </w:rPr>
        <w:t>A. Wandersman</w:t>
      </w:r>
      <w:r w:rsidRPr="00883FC5">
        <w:rPr>
          <w:smallCaps/>
          <w:spacing w:val="-5"/>
          <w:sz w:val="16"/>
          <w:szCs w:val="16"/>
          <w:lang w:val="en-US"/>
        </w:rPr>
        <w:t xml:space="preserve">, </w:t>
      </w:r>
      <w:r w:rsidRPr="00883FC5">
        <w:rPr>
          <w:i/>
          <w:spacing w:val="-5"/>
          <w:lang w:val="en-US"/>
        </w:rPr>
        <w:t>Community science: bridging the gap between science and practice with community-centered models,</w:t>
      </w:r>
      <w:r w:rsidRPr="00883FC5">
        <w:rPr>
          <w:spacing w:val="-5"/>
          <w:lang w:val="en-US"/>
        </w:rPr>
        <w:t xml:space="preserve"> American Journal of Community Psychology,</w:t>
      </w:r>
      <w:r w:rsidRPr="00883FC5">
        <w:rPr>
          <w:smallCaps/>
          <w:spacing w:val="-5"/>
          <w:lang w:val="en-US"/>
        </w:rPr>
        <w:t xml:space="preserve"> </w:t>
      </w:r>
      <w:r w:rsidRPr="00883FC5">
        <w:rPr>
          <w:spacing w:val="-5"/>
          <w:szCs w:val="16"/>
          <w:lang w:val="en-US"/>
        </w:rPr>
        <w:t>31(3-4), 227-242, 2003.</w:t>
      </w:r>
    </w:p>
    <w:p w14:paraId="2E32FEED" w14:textId="77777777" w:rsidR="00BC2DB0" w:rsidRPr="00883FC5" w:rsidRDefault="00BC2DB0" w:rsidP="00BC2DB0">
      <w:pPr>
        <w:pStyle w:val="Testo2"/>
        <w:spacing w:before="120"/>
      </w:pPr>
      <w:r w:rsidRPr="00883FC5">
        <w:lastRenderedPageBreak/>
        <w:t>Uno dei seguenti testi a scelta:</w:t>
      </w:r>
    </w:p>
    <w:p w14:paraId="756A8776" w14:textId="1ECFEF21" w:rsidR="00BC2DB0" w:rsidRPr="00323DE7" w:rsidRDefault="00BC2DB0" w:rsidP="00323DE7">
      <w:r w:rsidRPr="00323DE7">
        <w:rPr>
          <w:smallCaps/>
          <w:sz w:val="18"/>
          <w:szCs w:val="18"/>
        </w:rPr>
        <w:t>F. Cristini-M. Santinello</w:t>
      </w:r>
      <w:r w:rsidRPr="00323DE7">
        <w:rPr>
          <w:sz w:val="18"/>
          <w:szCs w:val="18"/>
        </w:rPr>
        <w:t xml:space="preserve"> </w:t>
      </w:r>
      <w:r w:rsidRPr="00323DE7">
        <w:rPr>
          <w:spacing w:val="-5"/>
          <w:sz w:val="18"/>
          <w:szCs w:val="18"/>
        </w:rPr>
        <w:t>(a cura di),</w:t>
      </w:r>
      <w:r w:rsidRPr="00323DE7">
        <w:rPr>
          <w:i/>
          <w:spacing w:val="-5"/>
          <w:sz w:val="18"/>
          <w:szCs w:val="18"/>
        </w:rPr>
        <w:t xml:space="preserve"> Reti di protezione. Prevenzione del consumo di sostanze e dei comportamenti antisociali in adolescenza,</w:t>
      </w:r>
      <w:r w:rsidRPr="00323DE7">
        <w:rPr>
          <w:spacing w:val="-5"/>
          <w:sz w:val="18"/>
          <w:szCs w:val="18"/>
        </w:rPr>
        <w:t xml:space="preserve"> Franco Angeli, Milano, 2012.</w:t>
      </w:r>
      <w:r w:rsidR="00323DE7" w:rsidRPr="00323DE7">
        <w:rPr>
          <w:i/>
          <w:sz w:val="16"/>
          <w:szCs w:val="16"/>
        </w:rPr>
        <w:t xml:space="preserve"> </w:t>
      </w:r>
      <w:hyperlink r:id="rId10" w:history="1">
        <w:r w:rsidR="00323DE7" w:rsidRPr="00323DE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2DBB102" w14:textId="6C63CC66" w:rsidR="00BC2DB0" w:rsidRPr="00323DE7" w:rsidRDefault="00BC2DB0" w:rsidP="00323DE7">
      <w:r w:rsidRPr="00323DE7">
        <w:rPr>
          <w:smallCaps/>
          <w:sz w:val="18"/>
          <w:szCs w:val="18"/>
        </w:rPr>
        <w:t>E. Marta-M. Santinello</w:t>
      </w:r>
      <w:r w:rsidRPr="00323DE7">
        <w:rPr>
          <w:sz w:val="18"/>
          <w:szCs w:val="18"/>
        </w:rPr>
        <w:t xml:space="preserve"> </w:t>
      </w:r>
      <w:r w:rsidRPr="00323DE7">
        <w:rPr>
          <w:spacing w:val="-5"/>
          <w:sz w:val="18"/>
          <w:szCs w:val="18"/>
        </w:rPr>
        <w:t>(a cura di),</w:t>
      </w:r>
      <w:r w:rsidRPr="00323DE7">
        <w:rPr>
          <w:i/>
          <w:spacing w:val="-5"/>
          <w:sz w:val="18"/>
          <w:szCs w:val="18"/>
        </w:rPr>
        <w:t xml:space="preserve"> Il mentoring: una lettura in ottica di psicologia di comunità,</w:t>
      </w:r>
      <w:r w:rsidRPr="00323DE7">
        <w:rPr>
          <w:spacing w:val="-5"/>
          <w:sz w:val="18"/>
          <w:szCs w:val="18"/>
        </w:rPr>
        <w:t xml:space="preserve"> UNICOPLI, Milano, 2010.</w:t>
      </w:r>
      <w:r w:rsidR="00323DE7" w:rsidRPr="00323DE7">
        <w:rPr>
          <w:i/>
          <w:sz w:val="16"/>
          <w:szCs w:val="16"/>
        </w:rPr>
        <w:t xml:space="preserve"> </w:t>
      </w:r>
      <w:hyperlink r:id="rId11" w:history="1">
        <w:r w:rsidR="00323DE7" w:rsidRPr="00323DE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AE4A1FA" w14:textId="77777777" w:rsidR="00885CC1" w:rsidRPr="00883FC5" w:rsidRDefault="00BC2DB0" w:rsidP="00F645B4">
      <w:pPr>
        <w:spacing w:before="120"/>
        <w:ind w:left="284" w:hanging="284"/>
        <w:rPr>
          <w:rFonts w:eastAsia="MS Mincho"/>
        </w:rPr>
      </w:pPr>
      <w:r w:rsidRPr="00883FC5">
        <w:rPr>
          <w:rFonts w:eastAsia="MS Mincho"/>
        </w:rPr>
        <w:t>In aggiunta alla bibliografia del corso, p</w:t>
      </w:r>
      <w:r w:rsidR="00885CC1" w:rsidRPr="00883FC5">
        <w:rPr>
          <w:rFonts w:eastAsia="MS Mincho"/>
        </w:rPr>
        <w:t>er il percorso basato sui contenuti delle lezioni</w:t>
      </w:r>
      <w:r w:rsidRPr="00883FC5">
        <w:rPr>
          <w:rFonts w:eastAsia="MS Mincho"/>
        </w:rPr>
        <w:t>, l</w:t>
      </w:r>
      <w:r w:rsidR="00885CC1" w:rsidRPr="00883FC5">
        <w:rPr>
          <w:rFonts w:eastAsia="MS Mincho"/>
        </w:rPr>
        <w:t>o studente si preparerà attraverso lo studio degli appunti delle lezioni,</w:t>
      </w:r>
      <w:r w:rsidR="004B3CBF" w:rsidRPr="00883FC5">
        <w:rPr>
          <w:rFonts w:eastAsia="MS Mincho"/>
        </w:rPr>
        <w:t xml:space="preserve"> </w:t>
      </w:r>
      <w:r w:rsidR="00885CC1" w:rsidRPr="00883FC5">
        <w:rPr>
          <w:rFonts w:eastAsia="MS Mincho"/>
        </w:rPr>
        <w:t>dei materiali integrativi inseri</w:t>
      </w:r>
      <w:r w:rsidR="004C4054">
        <w:rPr>
          <w:rFonts w:eastAsia="MS Mincho"/>
        </w:rPr>
        <w:t xml:space="preserve">ti sulla piattaforma </w:t>
      </w:r>
      <w:proofErr w:type="spellStart"/>
      <w:r w:rsidR="004C4054">
        <w:rPr>
          <w:rFonts w:eastAsia="MS Mincho"/>
        </w:rPr>
        <w:t>Blackboard</w:t>
      </w:r>
      <w:proofErr w:type="spellEnd"/>
      <w:r w:rsidR="004C4054">
        <w:rPr>
          <w:rFonts w:eastAsia="MS Mincho"/>
        </w:rPr>
        <w:t>.</w:t>
      </w:r>
    </w:p>
    <w:p w14:paraId="6026D932" w14:textId="77777777" w:rsidR="00BC2DB0" w:rsidRPr="00883FC5" w:rsidRDefault="004B3CBF" w:rsidP="00AD75AD">
      <w:pPr>
        <w:spacing w:before="120"/>
        <w:ind w:left="284" w:hanging="284"/>
      </w:pPr>
      <w:r w:rsidRPr="00883FC5">
        <w:t>P</w:t>
      </w:r>
      <w:r w:rsidR="00BC2DB0" w:rsidRPr="00883FC5">
        <w:t>er il percorso basato sui testi</w:t>
      </w:r>
      <w:r w:rsidRPr="00883FC5">
        <w:t xml:space="preserve">, invece, </w:t>
      </w:r>
      <w:r w:rsidRPr="00883FC5">
        <w:rPr>
          <w:rFonts w:eastAsia="MS Mincho"/>
        </w:rPr>
        <w:t xml:space="preserve">lo studente si preparerà attraverso lo studio dei materiali integrativi inseriti sulla piattaforma </w:t>
      </w:r>
      <w:proofErr w:type="spellStart"/>
      <w:r w:rsidRPr="00883FC5">
        <w:rPr>
          <w:rFonts w:eastAsia="MS Mincho"/>
        </w:rPr>
        <w:t>Blackboard</w:t>
      </w:r>
      <w:proofErr w:type="spellEnd"/>
      <w:r w:rsidRPr="00883FC5">
        <w:rPr>
          <w:rFonts w:eastAsia="MS Mincho"/>
        </w:rPr>
        <w:t xml:space="preserve"> e dei seguenti testi e articoli:</w:t>
      </w:r>
    </w:p>
    <w:p w14:paraId="4D674A3A" w14:textId="77777777" w:rsidR="000959B1" w:rsidRPr="00883FC5" w:rsidRDefault="000959B1" w:rsidP="000959B1">
      <w:pPr>
        <w:ind w:left="284" w:hanging="284"/>
        <w:rPr>
          <w:spacing w:val="-5"/>
          <w:sz w:val="18"/>
          <w:lang w:val="en-US"/>
        </w:rPr>
      </w:pPr>
      <w:r w:rsidRPr="00883FC5">
        <w:rPr>
          <w:rFonts w:ascii="Times" w:hAnsi="Times"/>
          <w:smallCaps/>
          <w:noProof/>
          <w:sz w:val="16"/>
          <w:szCs w:val="16"/>
          <w:lang w:val="en-US"/>
        </w:rPr>
        <w:t>C. Campbell-M. Murray</w:t>
      </w:r>
      <w:r w:rsidRPr="00883FC5">
        <w:rPr>
          <w:spacing w:val="-5"/>
          <w:sz w:val="18"/>
          <w:lang w:val="en-US"/>
        </w:rPr>
        <w:t xml:space="preserve">, </w:t>
      </w:r>
      <w:r w:rsidRPr="00883FC5">
        <w:rPr>
          <w:i/>
          <w:spacing w:val="-5"/>
          <w:sz w:val="18"/>
          <w:lang w:val="en-US"/>
        </w:rPr>
        <w:t>Community health psychology: promoting analysis and action for social change,</w:t>
      </w:r>
      <w:r w:rsidRPr="00883FC5">
        <w:rPr>
          <w:spacing w:val="-5"/>
          <w:sz w:val="18"/>
          <w:lang w:val="en-US"/>
        </w:rPr>
        <w:t xml:space="preserve"> Journal of Health Psychology, 9(2), 187-195, 2004.</w:t>
      </w:r>
    </w:p>
    <w:p w14:paraId="0E975E9A" w14:textId="4FFA0497" w:rsidR="00664F4B" w:rsidRPr="00323DE7" w:rsidRDefault="00664F4B" w:rsidP="00323DE7">
      <w:r w:rsidRPr="00883FC5">
        <w:rPr>
          <w:rFonts w:ascii="Times" w:hAnsi="Times"/>
          <w:smallCaps/>
          <w:noProof/>
          <w:sz w:val="16"/>
          <w:szCs w:val="16"/>
        </w:rPr>
        <w:t xml:space="preserve">B. Zani, </w:t>
      </w:r>
      <w:r w:rsidRPr="00883FC5">
        <w:rPr>
          <w:rFonts w:ascii="Times" w:hAnsi="Times"/>
          <w:i/>
          <w:noProof/>
          <w:spacing w:val="-5"/>
          <w:sz w:val="18"/>
          <w:szCs w:val="20"/>
        </w:rPr>
        <w:t xml:space="preserve">Psicologia di Comunità, </w:t>
      </w:r>
      <w:r w:rsidRPr="00883FC5">
        <w:rPr>
          <w:spacing w:val="-5"/>
          <w:sz w:val="18"/>
        </w:rPr>
        <w:t xml:space="preserve">Carocci, Roma, 2012. Solo cap. 8 (Il benessere della comunità di E. Cicognani). </w:t>
      </w:r>
      <w:hyperlink r:id="rId12" w:history="1">
        <w:r w:rsidR="00323DE7" w:rsidRPr="00323DE7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014F104" w14:textId="77777777" w:rsidR="00664F4B" w:rsidRPr="00883FC5" w:rsidRDefault="00664F4B" w:rsidP="00664F4B">
      <w:pPr>
        <w:spacing w:before="240" w:after="120" w:line="220" w:lineRule="exact"/>
        <w:rPr>
          <w:b/>
          <w:i/>
          <w:noProof/>
          <w:sz w:val="18"/>
        </w:rPr>
      </w:pPr>
      <w:r w:rsidRPr="00883FC5">
        <w:rPr>
          <w:b/>
          <w:i/>
          <w:noProof/>
          <w:sz w:val="18"/>
        </w:rPr>
        <w:t>DIDATTICA DEL CORSO</w:t>
      </w:r>
    </w:p>
    <w:p w14:paraId="1E6F13B3" w14:textId="77777777" w:rsidR="00664F4B" w:rsidRPr="00883FC5" w:rsidRDefault="00664F4B" w:rsidP="00664F4B">
      <w:pPr>
        <w:pStyle w:val="Testo2"/>
      </w:pPr>
      <w:r w:rsidRPr="00883FC5">
        <w:t>Lezioni</w:t>
      </w:r>
      <w:r w:rsidR="00D45634" w:rsidRPr="00883FC5">
        <w:t xml:space="preserve"> frontali</w:t>
      </w:r>
      <w:r w:rsidRPr="00883FC5">
        <w:t xml:space="preserve"> in aula, discussione di ricerche empiriche, utilizzo di supporti online su piattaforma Blackboard, interventi di esperti esterni.</w:t>
      </w:r>
    </w:p>
    <w:p w14:paraId="26538D6D" w14:textId="73AD2584" w:rsidR="00D45634" w:rsidRPr="00883FC5" w:rsidRDefault="00664F4B" w:rsidP="00D45634">
      <w:pPr>
        <w:pStyle w:val="Testo2"/>
      </w:pPr>
      <w:r w:rsidRPr="00883FC5">
        <w:t>Il corso prevede altresì esercitazioni di gruppo in aula basate su discussione</w:t>
      </w:r>
      <w:r w:rsidR="00163D9B">
        <w:t xml:space="preserve"> di studi di caso,</w:t>
      </w:r>
      <w:r w:rsidRPr="00883FC5">
        <w:t xml:space="preserve"> interventi di promozione della salute e ricerche empiriche.</w:t>
      </w:r>
      <w:r w:rsidR="00D45634" w:rsidRPr="00883FC5">
        <w:t xml:space="preserve"> Non sono previste attività </w:t>
      </w:r>
      <w:r w:rsidR="00106806">
        <w:t xml:space="preserve">obbligatorie </w:t>
      </w:r>
      <w:r w:rsidR="00D45634" w:rsidRPr="00883FC5">
        <w:t>al di fuori delle lezioni</w:t>
      </w:r>
      <w:r w:rsidR="00106806">
        <w:t xml:space="preserve">, ma gli studenti interessati potranno stendere un progetto e report sintetico ad approfondimento </w:t>
      </w:r>
      <w:r w:rsidR="00163D9B">
        <w:t>dell’</w:t>
      </w:r>
      <w:r w:rsidR="00106806">
        <w:t>esercitazione</w:t>
      </w:r>
      <w:r w:rsidR="00163D9B">
        <w:t xml:space="preserve"> svolta in aula</w:t>
      </w:r>
      <w:r w:rsidR="00106806">
        <w:t xml:space="preserve"> </w:t>
      </w:r>
      <w:r w:rsidR="00163D9B">
        <w:t xml:space="preserve">sulla ricerca e analisi di un intervento di promozione della salute </w:t>
      </w:r>
      <w:r w:rsidR="00163D9B" w:rsidRPr="00163D9B">
        <w:rPr>
          <w:i/>
          <w:iCs/>
        </w:rPr>
        <w:t>evidence-based</w:t>
      </w:r>
      <w:r w:rsidR="00106806">
        <w:t>.</w:t>
      </w:r>
      <w:r w:rsidR="00163D9B">
        <w:t xml:space="preserve"> Questo lavoro, svolto in gruppo, implicherà la raccolta di dati di contesto sul territorio individuato.</w:t>
      </w:r>
    </w:p>
    <w:p w14:paraId="6E654871" w14:textId="77777777" w:rsidR="00664F4B" w:rsidRPr="00883FC5" w:rsidRDefault="00664F4B" w:rsidP="00664F4B">
      <w:pPr>
        <w:spacing w:before="240" w:after="120" w:line="220" w:lineRule="exact"/>
        <w:rPr>
          <w:b/>
          <w:i/>
          <w:noProof/>
          <w:sz w:val="18"/>
        </w:rPr>
      </w:pPr>
      <w:r w:rsidRPr="00883FC5">
        <w:rPr>
          <w:b/>
          <w:i/>
          <w:noProof/>
          <w:sz w:val="18"/>
        </w:rPr>
        <w:t>METODO E CRITERI DI VALUTAZIONE</w:t>
      </w:r>
    </w:p>
    <w:p w14:paraId="3E98F995" w14:textId="77777777" w:rsidR="00083393" w:rsidRPr="00883FC5" w:rsidRDefault="00664F4B" w:rsidP="00083393">
      <w:pPr>
        <w:pStyle w:val="Testo2"/>
      </w:pPr>
      <w:r w:rsidRPr="00883FC5">
        <w:t>La valutazione consiste in una prova orale sui testi, gli articoli, il testo a scelta e</w:t>
      </w:r>
      <w:r w:rsidR="003D6E31" w:rsidRPr="00883FC5">
        <w:t>d</w:t>
      </w:r>
      <w:r w:rsidRPr="00883FC5">
        <w:t xml:space="preserve"> </w:t>
      </w:r>
      <w:r w:rsidR="00DA689C" w:rsidRPr="00883FC5">
        <w:t>i materiali integrativi presentati</w:t>
      </w:r>
      <w:r w:rsidRPr="00883FC5">
        <w:t xml:space="preserve"> a lezione e scaricabili dalla pagina blackboard del corso.</w:t>
      </w:r>
      <w:r w:rsidR="00083393" w:rsidRPr="00883FC5">
        <w:t xml:space="preserve"> Saranno poste una domanda sul testo a scelta e da due a quattro domande sui testi e i restanti materiali. Le domande verteranno sull'acquisizione delle nozioni, la capacità di  rielaborazione personale, incluso l'effettuare connessioni tra temi del corso, e l'applicazione delle conoscenze a casi concreti. </w:t>
      </w:r>
    </w:p>
    <w:p w14:paraId="0DAB9D94" w14:textId="77777777" w:rsidR="00664F4B" w:rsidRPr="00883FC5" w:rsidRDefault="00664F4B" w:rsidP="00664F4B">
      <w:pPr>
        <w:pStyle w:val="Testo2"/>
      </w:pPr>
      <w:r w:rsidRPr="00883FC5">
        <w:t>Saranno oggetti di valutazione</w:t>
      </w:r>
      <w:r w:rsidR="00DA689C" w:rsidRPr="00883FC5">
        <w:t>, in ordine di importanza,</w:t>
      </w:r>
      <w:r w:rsidRPr="00883FC5">
        <w:t xml:space="preserve"> la conoscenza dei </w:t>
      </w:r>
      <w:r w:rsidR="004C4054">
        <w:t>materiali</w:t>
      </w:r>
      <w:r w:rsidRPr="00883FC5">
        <w:t>, la capacità di effettuare connessioni tra contenuti del corso e di applicare le conoscenze a casi concreti, la proprietà di linguaggio e terminologica.</w:t>
      </w:r>
    </w:p>
    <w:p w14:paraId="0BC8DF15" w14:textId="77777777" w:rsidR="00664F4B" w:rsidRPr="00883FC5" w:rsidRDefault="00664F4B" w:rsidP="00664F4B">
      <w:pPr>
        <w:spacing w:before="240" w:after="120"/>
        <w:rPr>
          <w:b/>
          <w:i/>
          <w:noProof/>
          <w:sz w:val="18"/>
        </w:rPr>
      </w:pPr>
      <w:r w:rsidRPr="00883FC5">
        <w:rPr>
          <w:b/>
          <w:i/>
          <w:noProof/>
          <w:sz w:val="18"/>
        </w:rPr>
        <w:t>AVVERTENZE E PREREQUISITI</w:t>
      </w:r>
    </w:p>
    <w:p w14:paraId="3422D177" w14:textId="77777777" w:rsidR="00664F4B" w:rsidRDefault="00664F4B" w:rsidP="00664F4B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883FC5">
        <w:rPr>
          <w:rFonts w:ascii="Times" w:hAnsi="Times"/>
          <w:noProof/>
          <w:sz w:val="18"/>
          <w:szCs w:val="20"/>
        </w:rPr>
        <w:t>Conoscenze di base sui fondamenti della Psicologia sociale sono un prerequisito per il corso.</w:t>
      </w:r>
    </w:p>
    <w:p w14:paraId="36CA9BD8" w14:textId="77777777" w:rsidR="00AD75AD" w:rsidRPr="00AD75AD" w:rsidRDefault="00AD75AD" w:rsidP="00AD75AD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D75AD">
        <w:rPr>
          <w:rFonts w:ascii="Times" w:hAnsi="Times"/>
          <w:noProof/>
          <w:sz w:val="18"/>
          <w:szCs w:val="20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5C9909A" w14:textId="77777777" w:rsidR="00AD75AD" w:rsidRDefault="00AD75AD" w:rsidP="00AD75AD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14:paraId="70BD2355" w14:textId="3857A5BD" w:rsidR="00664F4B" w:rsidRPr="00C123F6" w:rsidRDefault="00664F4B" w:rsidP="00664F4B">
      <w:pPr>
        <w:tabs>
          <w:tab w:val="clear" w:pos="284"/>
        </w:tabs>
        <w:spacing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883FC5">
        <w:rPr>
          <w:rFonts w:ascii="Times" w:hAnsi="Times"/>
          <w:noProof/>
          <w:sz w:val="18"/>
          <w:szCs w:val="20"/>
        </w:rPr>
        <w:t xml:space="preserve">Il Prof. Giovanni Aresi riceve gli studenti previo appuntamento </w:t>
      </w:r>
      <w:r w:rsidR="00AE16DD">
        <w:rPr>
          <w:rFonts w:ascii="Times" w:hAnsi="Times"/>
          <w:noProof/>
          <w:sz w:val="18"/>
          <w:szCs w:val="20"/>
        </w:rPr>
        <w:t>tramite colloquio onl</w:t>
      </w:r>
      <w:r w:rsidR="00BC1316">
        <w:rPr>
          <w:rFonts w:ascii="Times" w:hAnsi="Times"/>
          <w:noProof/>
          <w:sz w:val="18"/>
          <w:szCs w:val="20"/>
        </w:rPr>
        <w:t>i</w:t>
      </w:r>
      <w:r w:rsidR="00AE16DD">
        <w:rPr>
          <w:rFonts w:ascii="Times" w:hAnsi="Times"/>
          <w:noProof/>
          <w:sz w:val="18"/>
          <w:szCs w:val="20"/>
        </w:rPr>
        <w:t xml:space="preserve">ne o </w:t>
      </w:r>
      <w:r w:rsidRPr="00883FC5">
        <w:rPr>
          <w:rFonts w:ascii="Times" w:hAnsi="Times"/>
          <w:noProof/>
          <w:sz w:val="18"/>
          <w:szCs w:val="20"/>
        </w:rPr>
        <w:t>presso il Laboratorio di Psicologia Sociale Applicata, III piano sede via Nirone 15.</w:t>
      </w:r>
    </w:p>
    <w:sectPr w:rsidR="00664F4B" w:rsidRPr="00C123F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7D90" w14:textId="77777777" w:rsidR="00323DE7" w:rsidRDefault="00323DE7" w:rsidP="00323DE7">
      <w:pPr>
        <w:spacing w:line="240" w:lineRule="auto"/>
      </w:pPr>
      <w:r>
        <w:separator/>
      </w:r>
    </w:p>
  </w:endnote>
  <w:endnote w:type="continuationSeparator" w:id="0">
    <w:p w14:paraId="495D927F" w14:textId="77777777" w:rsidR="00323DE7" w:rsidRDefault="00323DE7" w:rsidP="00323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B62B9" w14:textId="77777777" w:rsidR="00323DE7" w:rsidRDefault="00323DE7" w:rsidP="00323DE7">
      <w:pPr>
        <w:spacing w:line="240" w:lineRule="auto"/>
      </w:pPr>
      <w:r>
        <w:separator/>
      </w:r>
    </w:p>
  </w:footnote>
  <w:footnote w:type="continuationSeparator" w:id="0">
    <w:p w14:paraId="3ADCE5E1" w14:textId="77777777" w:rsidR="00323DE7" w:rsidRDefault="00323DE7" w:rsidP="00323DE7">
      <w:pPr>
        <w:spacing w:line="240" w:lineRule="auto"/>
      </w:pPr>
      <w:r>
        <w:continuationSeparator/>
      </w:r>
    </w:p>
  </w:footnote>
  <w:footnote w:id="1">
    <w:p w14:paraId="50CD9F4C" w14:textId="77777777" w:rsidR="00323DE7" w:rsidRDefault="00323DE7" w:rsidP="00323DE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7B64FB20" w14:textId="77777777" w:rsidR="00323DE7" w:rsidRDefault="00323DE7" w:rsidP="00323DE7"/>
    <w:p w14:paraId="6E066EA4" w14:textId="3C67978D" w:rsidR="00323DE7" w:rsidRDefault="00323DE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232E"/>
    <w:multiLevelType w:val="hybridMultilevel"/>
    <w:tmpl w:val="A26C773E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DF"/>
    <w:rsid w:val="00003797"/>
    <w:rsid w:val="00045B78"/>
    <w:rsid w:val="00075887"/>
    <w:rsid w:val="00077DBC"/>
    <w:rsid w:val="00083393"/>
    <w:rsid w:val="000959B1"/>
    <w:rsid w:val="0010086F"/>
    <w:rsid w:val="00101C73"/>
    <w:rsid w:val="00106806"/>
    <w:rsid w:val="00163D9B"/>
    <w:rsid w:val="001855E2"/>
    <w:rsid w:val="00187B99"/>
    <w:rsid w:val="001C44A3"/>
    <w:rsid w:val="002014DD"/>
    <w:rsid w:val="002325A0"/>
    <w:rsid w:val="002A0585"/>
    <w:rsid w:val="002D5E17"/>
    <w:rsid w:val="00323DE7"/>
    <w:rsid w:val="00324C66"/>
    <w:rsid w:val="003D6E31"/>
    <w:rsid w:val="004B3CBF"/>
    <w:rsid w:val="004C4054"/>
    <w:rsid w:val="004D1217"/>
    <w:rsid w:val="004D6008"/>
    <w:rsid w:val="00527B4D"/>
    <w:rsid w:val="00592F13"/>
    <w:rsid w:val="005C624C"/>
    <w:rsid w:val="00640794"/>
    <w:rsid w:val="00664F4B"/>
    <w:rsid w:val="006969E4"/>
    <w:rsid w:val="006F1772"/>
    <w:rsid w:val="007350D4"/>
    <w:rsid w:val="00745DBF"/>
    <w:rsid w:val="00754430"/>
    <w:rsid w:val="007B033C"/>
    <w:rsid w:val="00883FC5"/>
    <w:rsid w:val="00885CC1"/>
    <w:rsid w:val="008942E7"/>
    <w:rsid w:val="008A1204"/>
    <w:rsid w:val="008C29B4"/>
    <w:rsid w:val="00900CCA"/>
    <w:rsid w:val="00920472"/>
    <w:rsid w:val="00924B77"/>
    <w:rsid w:val="00940DA2"/>
    <w:rsid w:val="00986656"/>
    <w:rsid w:val="009873E0"/>
    <w:rsid w:val="009E055C"/>
    <w:rsid w:val="00A3043A"/>
    <w:rsid w:val="00A33889"/>
    <w:rsid w:val="00A536CF"/>
    <w:rsid w:val="00A74F6F"/>
    <w:rsid w:val="00AB235B"/>
    <w:rsid w:val="00AD7557"/>
    <w:rsid w:val="00AD75AD"/>
    <w:rsid w:val="00AE16DD"/>
    <w:rsid w:val="00B03DCC"/>
    <w:rsid w:val="00B35244"/>
    <w:rsid w:val="00B50C5D"/>
    <w:rsid w:val="00B51253"/>
    <w:rsid w:val="00B525CC"/>
    <w:rsid w:val="00BC1316"/>
    <w:rsid w:val="00BC2DB0"/>
    <w:rsid w:val="00BE062E"/>
    <w:rsid w:val="00C321DF"/>
    <w:rsid w:val="00C55305"/>
    <w:rsid w:val="00C75A5F"/>
    <w:rsid w:val="00CB30F1"/>
    <w:rsid w:val="00D028D1"/>
    <w:rsid w:val="00D404F2"/>
    <w:rsid w:val="00D45634"/>
    <w:rsid w:val="00DA689C"/>
    <w:rsid w:val="00DF5534"/>
    <w:rsid w:val="00E15D65"/>
    <w:rsid w:val="00E607E6"/>
    <w:rsid w:val="00F53E66"/>
    <w:rsid w:val="00F64424"/>
    <w:rsid w:val="00F645B4"/>
    <w:rsid w:val="00FB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67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F4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664F4B"/>
    <w:rPr>
      <w:color w:val="0563C1" w:themeColor="hyperlink"/>
      <w:u w:val="single"/>
    </w:rPr>
  </w:style>
  <w:style w:type="paragraph" w:styleId="Mappadocumento">
    <w:name w:val="Document Map"/>
    <w:basedOn w:val="Normale"/>
    <w:link w:val="MappadocumentoCarattere"/>
    <w:rsid w:val="002A0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2A0585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07588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7588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7588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758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75887"/>
    <w:rPr>
      <w:b/>
      <w:bCs/>
    </w:rPr>
  </w:style>
  <w:style w:type="paragraph" w:styleId="Testonotaapidipagina">
    <w:name w:val="footnote text"/>
    <w:basedOn w:val="Normale"/>
    <w:link w:val="TestonotaapidipaginaCarattere"/>
    <w:unhideWhenUsed/>
    <w:rsid w:val="00323DE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3DE7"/>
  </w:style>
  <w:style w:type="character" w:styleId="Rimandonotaapidipagina">
    <w:name w:val="footnote reference"/>
    <w:basedOn w:val="Carpredefinitoparagrafo"/>
    <w:semiHidden/>
    <w:unhideWhenUsed/>
    <w:rsid w:val="00323D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F4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664F4B"/>
    <w:rPr>
      <w:color w:val="0563C1" w:themeColor="hyperlink"/>
      <w:u w:val="single"/>
    </w:rPr>
  </w:style>
  <w:style w:type="paragraph" w:styleId="Mappadocumento">
    <w:name w:val="Document Map"/>
    <w:basedOn w:val="Normale"/>
    <w:link w:val="MappadocumentoCarattere"/>
    <w:rsid w:val="002A0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2A0585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07588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7588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7588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758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75887"/>
    <w:rPr>
      <w:b/>
      <w:bCs/>
    </w:rPr>
  </w:style>
  <w:style w:type="paragraph" w:styleId="Testonotaapidipagina">
    <w:name w:val="footnote text"/>
    <w:basedOn w:val="Normale"/>
    <w:link w:val="TestonotaapidipaginaCarattere"/>
    <w:unhideWhenUsed/>
    <w:rsid w:val="00323DE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3DE7"/>
  </w:style>
  <w:style w:type="character" w:styleId="Rimandonotaapidipagina">
    <w:name w:val="footnote reference"/>
    <w:basedOn w:val="Carpredefinitoparagrafo"/>
    <w:semiHidden/>
    <w:unhideWhenUsed/>
    <w:rsid w:val="00323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psicologia-di-comunita-prospettive-idee-metodi-9788843063253-21628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il-mentoring-9788840014630-17408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rete-di-protezione-9788856846614-17939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salute-e-qualita-della-vita-nella-societa-del-benessere-prospettive-interdisciplinari-9788843071210-214288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33F6B-BEE4-4D4B-AC92-EE9DFC41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4</Pages>
  <Words>876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Locci Amedeo</cp:lastModifiedBy>
  <cp:revision>3</cp:revision>
  <cp:lastPrinted>2003-03-27T10:42:00Z</cp:lastPrinted>
  <dcterms:created xsi:type="dcterms:W3CDTF">2022-05-03T09:35:00Z</dcterms:created>
  <dcterms:modified xsi:type="dcterms:W3CDTF">2022-07-26T07:26:00Z</dcterms:modified>
</cp:coreProperties>
</file>