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511D" w14:textId="748D1AB3" w:rsidR="00BC342E" w:rsidRPr="00354424" w:rsidRDefault="00A961B3" w:rsidP="00BC342E">
      <w:pPr>
        <w:pStyle w:val="Titolo1"/>
        <w:spacing w:before="120"/>
        <w:rPr>
          <w:rFonts w:ascii="Times New Roman" w:hAnsi="Times New Roman"/>
        </w:rPr>
      </w:pPr>
      <w:r w:rsidRPr="004D4FE2">
        <w:rPr>
          <w:rFonts w:ascii="Times New Roman" w:hAnsi="Times New Roman"/>
        </w:rPr>
        <w:t>Psicologia dell’</w:t>
      </w:r>
      <w:r w:rsidRPr="00B01F07">
        <w:rPr>
          <w:rFonts w:ascii="Times New Roman" w:hAnsi="Times New Roman"/>
        </w:rPr>
        <w:t>a</w:t>
      </w:r>
      <w:r w:rsidR="00BC342E" w:rsidRPr="00B01F07">
        <w:rPr>
          <w:rFonts w:ascii="Times New Roman" w:hAnsi="Times New Roman"/>
        </w:rPr>
        <w:t xml:space="preserve">limentazione e </w:t>
      </w:r>
      <w:r w:rsidRPr="00354424">
        <w:rPr>
          <w:rFonts w:ascii="Times New Roman" w:hAnsi="Times New Roman"/>
        </w:rPr>
        <w:t xml:space="preserve">degli </w:t>
      </w:r>
      <w:r w:rsidR="00BC342E" w:rsidRPr="00354424">
        <w:rPr>
          <w:rFonts w:ascii="Times New Roman" w:hAnsi="Times New Roman"/>
        </w:rPr>
        <w:t>stili di vita</w:t>
      </w:r>
    </w:p>
    <w:p w14:paraId="3A967B42" w14:textId="77777777" w:rsidR="00BC342E" w:rsidRPr="004D4FE2" w:rsidRDefault="00BC342E" w:rsidP="00BC342E">
      <w:pPr>
        <w:pStyle w:val="Titolo2"/>
      </w:pPr>
      <w:r w:rsidRPr="004D4FE2">
        <w:t>Prof. Patrizia Catellani</w:t>
      </w:r>
    </w:p>
    <w:p w14:paraId="617D8360" w14:textId="644631AC" w:rsidR="00F83BD7" w:rsidRPr="004D4FE2" w:rsidRDefault="00F83BD7" w:rsidP="00F83BD7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4D4FE2">
        <w:rPr>
          <w:b/>
          <w:bCs/>
          <w:i/>
          <w:iCs/>
          <w:color w:val="000000"/>
          <w:sz w:val="18"/>
          <w:szCs w:val="18"/>
        </w:rPr>
        <w:t>OBIETTIV</w:t>
      </w:r>
      <w:r w:rsidR="00A961B3" w:rsidRPr="004D4FE2">
        <w:rPr>
          <w:b/>
          <w:bCs/>
          <w:i/>
          <w:iCs/>
          <w:color w:val="000000"/>
          <w:sz w:val="18"/>
          <w:szCs w:val="18"/>
        </w:rPr>
        <w:t>O</w:t>
      </w:r>
      <w:r w:rsidRPr="004D4FE2">
        <w:rPr>
          <w:b/>
          <w:bCs/>
          <w:i/>
          <w:iCs/>
          <w:color w:val="000000"/>
          <w:sz w:val="18"/>
          <w:szCs w:val="18"/>
        </w:rPr>
        <w:t xml:space="preserve"> DEL CORSO E RISULTATI DI APPRENDIMENTO ATTESI</w:t>
      </w:r>
    </w:p>
    <w:p w14:paraId="31CE2FF3" w14:textId="16B72555" w:rsidR="00D204C1" w:rsidRPr="00354424" w:rsidRDefault="00A961B3" w:rsidP="00D204C1">
      <w:pPr>
        <w:spacing w:before="120" w:after="120"/>
        <w:rPr>
          <w:b/>
          <w:i/>
          <w:sz w:val="18"/>
        </w:rPr>
      </w:pPr>
      <w:r w:rsidRPr="00AD2513">
        <w:rPr>
          <w:szCs w:val="20"/>
        </w:rPr>
        <w:t xml:space="preserve">Il corso </w:t>
      </w:r>
      <w:r w:rsidR="0027661A" w:rsidRPr="00AD2513">
        <w:rPr>
          <w:szCs w:val="20"/>
        </w:rPr>
        <w:t xml:space="preserve">si propone di favorire la </w:t>
      </w:r>
      <w:r w:rsidR="005A1240" w:rsidRPr="00AD2513">
        <w:rPr>
          <w:szCs w:val="20"/>
        </w:rPr>
        <w:t>comprensione delle dimensioni psicologiche (cognitive, emotive, valoriali, sociali e comportamentali) c</w:t>
      </w:r>
      <w:r w:rsidR="0027661A" w:rsidRPr="00AD2513">
        <w:rPr>
          <w:szCs w:val="20"/>
        </w:rPr>
        <w:t>oinvolte nel</w:t>
      </w:r>
      <w:r w:rsidR="005A1240" w:rsidRPr="00AD2513">
        <w:rPr>
          <w:szCs w:val="20"/>
        </w:rPr>
        <w:t>le scelte alimentari</w:t>
      </w:r>
      <w:r w:rsidR="0027661A" w:rsidRPr="004D4FE2">
        <w:rPr>
          <w:szCs w:val="20"/>
        </w:rPr>
        <w:t xml:space="preserve"> e </w:t>
      </w:r>
      <w:r w:rsidR="0027661A" w:rsidRPr="00B01F07">
        <w:rPr>
          <w:szCs w:val="20"/>
        </w:rPr>
        <w:t>negli stili di vita</w:t>
      </w:r>
      <w:r w:rsidR="00354424">
        <w:rPr>
          <w:szCs w:val="20"/>
        </w:rPr>
        <w:t>, così come nel loro cambiamento</w:t>
      </w:r>
      <w:r w:rsidR="00BC342E" w:rsidRPr="00B01F07">
        <w:rPr>
          <w:szCs w:val="20"/>
        </w:rPr>
        <w:t xml:space="preserve">. </w:t>
      </w:r>
      <w:r w:rsidR="0027661A" w:rsidRPr="00354424">
        <w:rPr>
          <w:szCs w:val="20"/>
        </w:rPr>
        <w:t>Particolare attenzione viene dedicata all’esame d</w:t>
      </w:r>
      <w:r w:rsidR="00411D58" w:rsidRPr="00354424">
        <w:rPr>
          <w:szCs w:val="20"/>
        </w:rPr>
        <w:t>elle strategie per</w:t>
      </w:r>
      <w:r w:rsidR="0027661A" w:rsidRPr="00354424">
        <w:rPr>
          <w:szCs w:val="20"/>
        </w:rPr>
        <w:t xml:space="preserve"> supportare </w:t>
      </w:r>
      <w:r w:rsidR="00411D58" w:rsidRPr="00354424">
        <w:rPr>
          <w:szCs w:val="20"/>
        </w:rPr>
        <w:t xml:space="preserve">le persone, attraverso la comunicazione </w:t>
      </w:r>
      <w:r w:rsidR="00354424">
        <w:rPr>
          <w:szCs w:val="20"/>
        </w:rPr>
        <w:t xml:space="preserve">personalizzata </w:t>
      </w:r>
      <w:r w:rsidR="00411D58" w:rsidRPr="00354424">
        <w:rPr>
          <w:szCs w:val="20"/>
        </w:rPr>
        <w:t xml:space="preserve">online, nei percorsi di cambiamento in direzione di salute, benessere e sostenibilità. </w:t>
      </w:r>
    </w:p>
    <w:p w14:paraId="201A2312" w14:textId="0B1FEDCC" w:rsidR="00F83BD7" w:rsidRPr="00AD2513" w:rsidRDefault="0027661A" w:rsidP="00F83BD7">
      <w:pPr>
        <w:spacing w:before="240" w:after="120" w:line="240" w:lineRule="atLeast"/>
        <w:rPr>
          <w:bCs/>
          <w:color w:val="000000"/>
          <w:sz w:val="18"/>
          <w:szCs w:val="18"/>
        </w:rPr>
      </w:pPr>
      <w:r w:rsidRPr="00AD2513">
        <w:rPr>
          <w:bCs/>
          <w:color w:val="000000"/>
          <w:szCs w:val="20"/>
          <w:shd w:val="clear" w:color="auto" w:fill="FFFFFF"/>
        </w:rPr>
        <w:t>A</w:t>
      </w:r>
      <w:bookmarkStart w:id="0" w:name="_GoBack"/>
      <w:bookmarkEnd w:id="0"/>
      <w:r w:rsidRPr="00AD2513">
        <w:rPr>
          <w:bCs/>
          <w:color w:val="000000"/>
          <w:szCs w:val="20"/>
          <w:shd w:val="clear" w:color="auto" w:fill="FFFFFF"/>
        </w:rPr>
        <w:t>l termine del corso lo studente sarà in grado di:</w:t>
      </w:r>
    </w:p>
    <w:p w14:paraId="30968C38" w14:textId="77777777" w:rsidR="00BC342E" w:rsidRPr="00B01F07" w:rsidRDefault="00BC342E" w:rsidP="00BC342E">
      <w:pPr>
        <w:spacing w:before="120"/>
        <w:rPr>
          <w:i/>
          <w:szCs w:val="20"/>
        </w:rPr>
      </w:pPr>
      <w:r w:rsidRPr="004D4FE2">
        <w:rPr>
          <w:i/>
          <w:szCs w:val="20"/>
        </w:rPr>
        <w:t>Conoscenza e comprensione</w:t>
      </w:r>
    </w:p>
    <w:p w14:paraId="1A8E07FA" w14:textId="0A3CCE79" w:rsidR="00BC342E" w:rsidRPr="00354424" w:rsidRDefault="00BC342E" w:rsidP="00BC342E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B01F07">
        <w:rPr>
          <w:szCs w:val="20"/>
        </w:rPr>
        <w:t>Conosce</w:t>
      </w:r>
      <w:r w:rsidR="00411D58" w:rsidRPr="00B01F07">
        <w:rPr>
          <w:szCs w:val="20"/>
        </w:rPr>
        <w:t>re</w:t>
      </w:r>
      <w:r w:rsidR="00411D58" w:rsidRPr="00354424">
        <w:rPr>
          <w:szCs w:val="20"/>
        </w:rPr>
        <w:t xml:space="preserve"> </w:t>
      </w:r>
      <w:r w:rsidRPr="00354424">
        <w:rPr>
          <w:szCs w:val="20"/>
        </w:rPr>
        <w:t>le teorie principali della psicologia sociale applicate alla promozione della salute</w:t>
      </w:r>
      <w:r w:rsidR="00411D58" w:rsidRPr="00354424">
        <w:rPr>
          <w:szCs w:val="20"/>
        </w:rPr>
        <w:t>,</w:t>
      </w:r>
      <w:r w:rsidRPr="00354424">
        <w:rPr>
          <w:szCs w:val="20"/>
        </w:rPr>
        <w:t xml:space="preserve"> del benessere</w:t>
      </w:r>
      <w:r w:rsidR="00411D58" w:rsidRPr="00354424">
        <w:rPr>
          <w:szCs w:val="20"/>
        </w:rPr>
        <w:t xml:space="preserve"> e della sostenibilità</w:t>
      </w:r>
      <w:r w:rsidRPr="00354424">
        <w:rPr>
          <w:szCs w:val="20"/>
        </w:rPr>
        <w:t xml:space="preserve">. </w:t>
      </w:r>
    </w:p>
    <w:p w14:paraId="55D4CE2C" w14:textId="2AB6BC7F" w:rsidR="00BC342E" w:rsidRPr="00354424" w:rsidRDefault="00BC342E" w:rsidP="00BC342E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54424">
        <w:rPr>
          <w:szCs w:val="20"/>
        </w:rPr>
        <w:t>Compren</w:t>
      </w:r>
      <w:r w:rsidR="00411D58" w:rsidRPr="00354424">
        <w:rPr>
          <w:szCs w:val="20"/>
        </w:rPr>
        <w:t xml:space="preserve">dere </w:t>
      </w:r>
      <w:r w:rsidRPr="00354424">
        <w:rPr>
          <w:szCs w:val="20"/>
        </w:rPr>
        <w:t>i metodi principali di ricerca utilizzati dalla psicologia per la valutazione di interventi volti alla promozione della salute e del benessere.</w:t>
      </w:r>
    </w:p>
    <w:p w14:paraId="5FF64B58" w14:textId="6367D00C" w:rsidR="00BC342E" w:rsidRPr="004D4FE2" w:rsidRDefault="00BC342E" w:rsidP="00BC342E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54424">
        <w:rPr>
          <w:szCs w:val="20"/>
        </w:rPr>
        <w:t>Interpreta</w:t>
      </w:r>
      <w:r w:rsidR="00411D58" w:rsidRPr="00354424">
        <w:rPr>
          <w:szCs w:val="20"/>
        </w:rPr>
        <w:t>r</w:t>
      </w:r>
      <w:r w:rsidRPr="00354424">
        <w:rPr>
          <w:szCs w:val="20"/>
        </w:rPr>
        <w:t>e i risultati di ricerche psicologiche nell’ambito della promozione di un’alimentazione sana</w:t>
      </w:r>
      <w:r w:rsidR="00411D58" w:rsidRPr="004D4FE2">
        <w:rPr>
          <w:szCs w:val="20"/>
        </w:rPr>
        <w:t xml:space="preserve"> e di stili di vita sostenibili</w:t>
      </w:r>
      <w:r w:rsidRPr="004D4FE2">
        <w:rPr>
          <w:szCs w:val="20"/>
        </w:rPr>
        <w:t>.</w:t>
      </w:r>
    </w:p>
    <w:p w14:paraId="06B55540" w14:textId="77777777" w:rsidR="00BC342E" w:rsidRPr="004D4FE2" w:rsidRDefault="00BC342E" w:rsidP="00BC342E">
      <w:pPr>
        <w:rPr>
          <w:i/>
          <w:szCs w:val="20"/>
        </w:rPr>
      </w:pPr>
      <w:r w:rsidRPr="004D4FE2">
        <w:rPr>
          <w:i/>
          <w:szCs w:val="20"/>
        </w:rPr>
        <w:t>Capacità di applicare conoscenza e comprensione</w:t>
      </w:r>
    </w:p>
    <w:p w14:paraId="75942966" w14:textId="768A0721" w:rsidR="00BC342E" w:rsidRPr="004D4FE2" w:rsidRDefault="00BC342E" w:rsidP="00BC342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D4FE2">
        <w:rPr>
          <w:szCs w:val="20"/>
        </w:rPr>
        <w:t>Applica</w:t>
      </w:r>
      <w:r w:rsidR="00411D58" w:rsidRPr="004D4FE2">
        <w:rPr>
          <w:szCs w:val="20"/>
        </w:rPr>
        <w:t>r</w:t>
      </w:r>
      <w:r w:rsidRPr="004D4FE2">
        <w:rPr>
          <w:szCs w:val="20"/>
        </w:rPr>
        <w:t>e teorie e modelli psicosociali per prom</w:t>
      </w:r>
      <w:r w:rsidR="00411D58" w:rsidRPr="004D4FE2">
        <w:rPr>
          <w:szCs w:val="20"/>
        </w:rPr>
        <w:t>u</w:t>
      </w:r>
      <w:r w:rsidRPr="004D4FE2">
        <w:rPr>
          <w:szCs w:val="20"/>
        </w:rPr>
        <w:t>o</w:t>
      </w:r>
      <w:r w:rsidR="00411D58" w:rsidRPr="004D4FE2">
        <w:rPr>
          <w:szCs w:val="20"/>
        </w:rPr>
        <w:t>vere il cambiamento dei comportamenti</w:t>
      </w:r>
      <w:r w:rsidRPr="004D4FE2">
        <w:rPr>
          <w:szCs w:val="20"/>
        </w:rPr>
        <w:t>, mediante l’utilizzo di diverse metodologie e tecnologie.</w:t>
      </w:r>
    </w:p>
    <w:p w14:paraId="50053440" w14:textId="77777777" w:rsidR="00BC342E" w:rsidRPr="004D4FE2" w:rsidRDefault="00BC342E" w:rsidP="00BC342E">
      <w:pPr>
        <w:rPr>
          <w:szCs w:val="20"/>
        </w:rPr>
      </w:pPr>
      <w:r w:rsidRPr="004D4FE2">
        <w:rPr>
          <w:i/>
          <w:szCs w:val="20"/>
        </w:rPr>
        <w:t>Autonomia di giudizio</w:t>
      </w:r>
    </w:p>
    <w:p w14:paraId="72B26160" w14:textId="0B1D2932" w:rsidR="00BC342E" w:rsidRPr="004D4FE2" w:rsidRDefault="00BC342E" w:rsidP="00BC342E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D4FE2">
        <w:rPr>
          <w:szCs w:val="20"/>
        </w:rPr>
        <w:t>A</w:t>
      </w:r>
      <w:r w:rsidR="00411D58" w:rsidRPr="004D4FE2">
        <w:rPr>
          <w:szCs w:val="20"/>
        </w:rPr>
        <w:t>vere</w:t>
      </w:r>
      <w:r w:rsidRPr="004D4FE2">
        <w:rPr>
          <w:szCs w:val="20"/>
        </w:rPr>
        <w:t xml:space="preserve"> capacità di giudizio critico </w:t>
      </w:r>
      <w:r w:rsidR="00411D58" w:rsidRPr="004D4FE2">
        <w:rPr>
          <w:szCs w:val="20"/>
        </w:rPr>
        <w:t>relativamente alle diverse strategie e politiche adottate per influenzare le scelte alimentari e gli stili di vita</w:t>
      </w:r>
      <w:r w:rsidR="007663A2" w:rsidRPr="004D4FE2">
        <w:rPr>
          <w:szCs w:val="20"/>
        </w:rPr>
        <w:t>.</w:t>
      </w:r>
    </w:p>
    <w:p w14:paraId="3900FE0C" w14:textId="673D4FC8" w:rsidR="00BC342E" w:rsidRPr="00AD2513" w:rsidRDefault="00BC342E" w:rsidP="00BC342E">
      <w:pPr>
        <w:spacing w:before="240" w:after="120"/>
        <w:rPr>
          <w:b/>
          <w:i/>
          <w:sz w:val="18"/>
        </w:rPr>
      </w:pPr>
      <w:r w:rsidRPr="00AD2513">
        <w:rPr>
          <w:b/>
          <w:i/>
          <w:sz w:val="18"/>
        </w:rPr>
        <w:t>PROGRAMMA DEL CORSO</w:t>
      </w:r>
    </w:p>
    <w:p w14:paraId="362A8A97" w14:textId="4723E365" w:rsidR="008E0F0B" w:rsidRPr="00AD2513" w:rsidRDefault="001813AC" w:rsidP="00BC342E">
      <w:pPr>
        <w:spacing w:before="240" w:after="120"/>
        <w:rPr>
          <w:bCs/>
          <w:sz w:val="18"/>
        </w:rPr>
      </w:pPr>
      <w:r w:rsidRPr="00AD2513">
        <w:rPr>
          <w:bCs/>
          <w:sz w:val="18"/>
        </w:rPr>
        <w:t>Nella prima parte del corso viene definita l’area di studio della psicologia sociale dell’alimentazione e ven</w:t>
      </w:r>
      <w:r w:rsidR="00354424">
        <w:rPr>
          <w:bCs/>
          <w:sz w:val="18"/>
        </w:rPr>
        <w:t xml:space="preserve">gono presi in esame processi e </w:t>
      </w:r>
      <w:r w:rsidRPr="00AD2513">
        <w:rPr>
          <w:bCs/>
          <w:sz w:val="18"/>
        </w:rPr>
        <w:t>fasi della scelta alimentare</w:t>
      </w:r>
      <w:r w:rsidR="00354424">
        <w:rPr>
          <w:bCs/>
          <w:sz w:val="18"/>
        </w:rPr>
        <w:t>,</w:t>
      </w:r>
      <w:r w:rsidRPr="00AD2513">
        <w:rPr>
          <w:bCs/>
          <w:sz w:val="18"/>
        </w:rPr>
        <w:t xml:space="preserve"> e </w:t>
      </w:r>
      <w:r w:rsidR="00354424">
        <w:rPr>
          <w:bCs/>
          <w:sz w:val="18"/>
        </w:rPr>
        <w:t>i</w:t>
      </w:r>
      <w:r w:rsidRPr="00AD2513">
        <w:rPr>
          <w:bCs/>
          <w:sz w:val="18"/>
        </w:rPr>
        <w:t xml:space="preserve"> diversi fattori psicologici coinvolti. Nella seconda parte del corso l’attenzione si sposta sulle</w:t>
      </w:r>
      <w:r w:rsidR="00354424">
        <w:rPr>
          <w:bCs/>
          <w:sz w:val="18"/>
        </w:rPr>
        <w:t xml:space="preserve"> </w:t>
      </w:r>
      <w:r w:rsidRPr="00AD2513">
        <w:rPr>
          <w:bCs/>
          <w:sz w:val="18"/>
        </w:rPr>
        <w:t xml:space="preserve">modalità di comunicazione </w:t>
      </w:r>
      <w:r w:rsidR="00354424">
        <w:rPr>
          <w:bCs/>
          <w:sz w:val="18"/>
        </w:rPr>
        <w:t>p</w:t>
      </w:r>
      <w:r w:rsidRPr="00AD2513">
        <w:rPr>
          <w:bCs/>
          <w:sz w:val="18"/>
        </w:rPr>
        <w:t xml:space="preserve">iù efficaci nel supportare i processi di cambiamento in direzione del benessere. </w:t>
      </w:r>
    </w:p>
    <w:p w14:paraId="27FD3C83" w14:textId="46D76824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BC342E" w:rsidRPr="00AD2513">
        <w:rPr>
          <w:szCs w:val="20"/>
        </w:rPr>
        <w:t>1</w:t>
      </w:r>
      <w:r w:rsidR="00BC342E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Area di studio</w:t>
      </w:r>
    </w:p>
    <w:p w14:paraId="3907469B" w14:textId="68B505C5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2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Processi e fasi della scelta</w:t>
      </w:r>
    </w:p>
    <w:p w14:paraId="672C7A0E" w14:textId="7ADB8C18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3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Fattori cognitivi</w:t>
      </w:r>
    </w:p>
    <w:p w14:paraId="30534B72" w14:textId="0BE0677D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4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Fattori emotivi</w:t>
      </w:r>
    </w:p>
    <w:p w14:paraId="06821E86" w14:textId="1295692C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5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 xml:space="preserve">Norme, identità e valori </w:t>
      </w:r>
    </w:p>
    <w:p w14:paraId="48D9A071" w14:textId="1E5A985F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lastRenderedPageBreak/>
        <w:t xml:space="preserve">Unità </w:t>
      </w:r>
      <w:r w:rsidR="005A1240" w:rsidRPr="00AD2513">
        <w:rPr>
          <w:szCs w:val="20"/>
        </w:rPr>
        <w:t>6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Abitudini e cambiamento dei comportamenti</w:t>
      </w:r>
    </w:p>
    <w:p w14:paraId="5FECFDDE" w14:textId="533F2FE7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7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Comunicare la sana alimentazione</w:t>
      </w:r>
    </w:p>
    <w:p w14:paraId="21D4204A" w14:textId="1357C666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8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 xml:space="preserve">Tipologie di messaggi </w:t>
      </w:r>
    </w:p>
    <w:p w14:paraId="61E78D46" w14:textId="299C7201" w:rsidR="005A1240" w:rsidRPr="00AD2513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9</w:t>
      </w:r>
      <w:r w:rsidR="005A1240" w:rsidRPr="00AD2513">
        <w:rPr>
          <w:szCs w:val="20"/>
        </w:rPr>
        <w:tab/>
      </w:r>
      <w:r w:rsidRPr="00AD2513">
        <w:rPr>
          <w:szCs w:val="20"/>
        </w:rPr>
        <w:t xml:space="preserve">- </w:t>
      </w:r>
      <w:r w:rsidR="005A1240" w:rsidRPr="00AD2513">
        <w:rPr>
          <w:szCs w:val="20"/>
        </w:rPr>
        <w:t>Caratteristiche del destinatario</w:t>
      </w:r>
    </w:p>
    <w:p w14:paraId="19E34EF6" w14:textId="50C30DBC" w:rsidR="005A1240" w:rsidRPr="004D4FE2" w:rsidRDefault="008E0F0B" w:rsidP="005A1240">
      <w:pPr>
        <w:tabs>
          <w:tab w:val="clear" w:pos="284"/>
        </w:tabs>
        <w:ind w:left="284" w:hanging="284"/>
        <w:jc w:val="left"/>
        <w:rPr>
          <w:szCs w:val="20"/>
        </w:rPr>
      </w:pPr>
      <w:r w:rsidRPr="00AD2513">
        <w:rPr>
          <w:szCs w:val="20"/>
        </w:rPr>
        <w:t xml:space="preserve">Unità </w:t>
      </w:r>
      <w:r w:rsidR="005A1240" w:rsidRPr="00AD2513">
        <w:rPr>
          <w:szCs w:val="20"/>
        </w:rPr>
        <w:t>10</w:t>
      </w:r>
      <w:r w:rsidRPr="00AD2513">
        <w:rPr>
          <w:szCs w:val="20"/>
        </w:rPr>
        <w:t xml:space="preserve"> - </w:t>
      </w:r>
      <w:r w:rsidR="005A1240" w:rsidRPr="00AD2513">
        <w:rPr>
          <w:szCs w:val="20"/>
        </w:rPr>
        <w:t>Comunicazione digitale e intelligenza artificiale</w:t>
      </w:r>
    </w:p>
    <w:p w14:paraId="43E715A8" w14:textId="5A5BE4B2" w:rsidR="00BC342E" w:rsidRPr="004D4FE2" w:rsidRDefault="00BC342E" w:rsidP="007C7674">
      <w:pPr>
        <w:spacing w:before="240" w:after="120" w:line="220" w:lineRule="exact"/>
        <w:rPr>
          <w:b/>
          <w:i/>
          <w:sz w:val="18"/>
        </w:rPr>
      </w:pPr>
      <w:r w:rsidRPr="004D4FE2">
        <w:rPr>
          <w:b/>
          <w:i/>
          <w:sz w:val="18"/>
        </w:rPr>
        <w:t>BIBLIOGRAFIA</w:t>
      </w:r>
      <w:r w:rsidR="009743A4" w:rsidRPr="004D4FE2">
        <w:rPr>
          <w:rStyle w:val="Rimandonotaapidipagina"/>
          <w:b/>
          <w:i/>
          <w:sz w:val="18"/>
        </w:rPr>
        <w:footnoteReference w:id="1"/>
      </w:r>
    </w:p>
    <w:p w14:paraId="1C25C741" w14:textId="70485B10" w:rsidR="00693226" w:rsidRPr="00B01F07" w:rsidRDefault="00693226" w:rsidP="003B45AA">
      <w:pPr>
        <w:spacing w:line="220" w:lineRule="atLeast"/>
        <w:rPr>
          <w:bCs/>
          <w:i/>
          <w:sz w:val="18"/>
        </w:rPr>
      </w:pPr>
      <w:r w:rsidRPr="00B01F07">
        <w:rPr>
          <w:bCs/>
          <w:i/>
          <w:sz w:val="18"/>
        </w:rPr>
        <w:t>Percorso basato sui contenuti delle lezioni</w:t>
      </w:r>
    </w:p>
    <w:p w14:paraId="052BA779" w14:textId="2577C900" w:rsidR="007E2B78" w:rsidRPr="00B01F07" w:rsidRDefault="00693226" w:rsidP="00E21DBF">
      <w:pPr>
        <w:pStyle w:val="Paragrafoelenco"/>
        <w:numPr>
          <w:ilvl w:val="0"/>
          <w:numId w:val="3"/>
        </w:numPr>
        <w:tabs>
          <w:tab w:val="clear" w:pos="284"/>
        </w:tabs>
        <w:spacing w:line="220" w:lineRule="atLeast"/>
        <w:rPr>
          <w:rFonts w:ascii="Times" w:hAnsi="Times"/>
          <w:noProof/>
          <w:sz w:val="18"/>
          <w:szCs w:val="20"/>
        </w:rPr>
      </w:pPr>
      <w:r w:rsidRPr="00B01F07">
        <w:rPr>
          <w:rFonts w:ascii="Times" w:hAnsi="Times"/>
          <w:noProof/>
          <w:sz w:val="18"/>
          <w:szCs w:val="20"/>
        </w:rPr>
        <w:t>Appunti delle lezioni e materiali integrativi inseriti sulla piattaforma Blackboard.</w:t>
      </w:r>
    </w:p>
    <w:p w14:paraId="6B9BC4CF" w14:textId="4A98AEA7" w:rsidR="007E2B78" w:rsidRPr="00354424" w:rsidRDefault="003B45AA" w:rsidP="00E21DBF">
      <w:pPr>
        <w:pStyle w:val="Paragrafoelenco"/>
        <w:numPr>
          <w:ilvl w:val="0"/>
          <w:numId w:val="3"/>
        </w:numPr>
        <w:tabs>
          <w:tab w:val="clear" w:pos="284"/>
        </w:tabs>
        <w:spacing w:line="220" w:lineRule="atLeast"/>
        <w:rPr>
          <w:rFonts w:ascii="Times" w:hAnsi="Times"/>
          <w:noProof/>
          <w:sz w:val="18"/>
          <w:szCs w:val="20"/>
        </w:rPr>
      </w:pPr>
      <w:r w:rsidRPr="00354424">
        <w:rPr>
          <w:rFonts w:ascii="Times" w:hAnsi="Times"/>
          <w:noProof/>
          <w:sz w:val="18"/>
          <w:szCs w:val="20"/>
        </w:rPr>
        <w:t>Lettura di a</w:t>
      </w:r>
      <w:r w:rsidR="007E2B78" w:rsidRPr="00354424">
        <w:rPr>
          <w:rFonts w:ascii="Times" w:hAnsi="Times"/>
          <w:noProof/>
          <w:sz w:val="18"/>
          <w:szCs w:val="20"/>
        </w:rPr>
        <w:t xml:space="preserve">rticoli </w:t>
      </w:r>
      <w:r w:rsidRPr="00354424">
        <w:rPr>
          <w:rFonts w:ascii="Times" w:hAnsi="Times"/>
          <w:noProof/>
          <w:sz w:val="18"/>
          <w:szCs w:val="20"/>
        </w:rPr>
        <w:t>di ricerca scaricabili da Blackboard</w:t>
      </w:r>
      <w:r w:rsidR="007E2B78" w:rsidRPr="00354424">
        <w:rPr>
          <w:rFonts w:ascii="Times" w:hAnsi="Times"/>
          <w:noProof/>
          <w:sz w:val="18"/>
          <w:szCs w:val="20"/>
        </w:rPr>
        <w:t>:</w:t>
      </w:r>
    </w:p>
    <w:p w14:paraId="43F8E9ED" w14:textId="7CDF847D" w:rsidR="00997C09" w:rsidRPr="004D4FE2" w:rsidRDefault="001E402A" w:rsidP="00E21DBF">
      <w:pPr>
        <w:pStyle w:val="NormaleWeb"/>
        <w:shd w:val="clear" w:color="auto" w:fill="FFFFFF"/>
        <w:spacing w:before="0" w:beforeAutospacing="0" w:after="0" w:afterAutospacing="0" w:line="220" w:lineRule="atLeast"/>
        <w:ind w:left="360"/>
        <w:rPr>
          <w:rFonts w:ascii="Times" w:hAnsi="Times"/>
          <w:noProof/>
          <w:sz w:val="18"/>
          <w:szCs w:val="20"/>
          <w:lang w:val="en-GB"/>
        </w:rPr>
      </w:pPr>
      <w:r w:rsidRPr="00B118FD">
        <w:rPr>
          <w:rFonts w:ascii="Times" w:hAnsi="Times"/>
          <w:smallCaps/>
          <w:noProof/>
          <w:sz w:val="16"/>
          <w:szCs w:val="18"/>
          <w:lang w:val="en-GB"/>
        </w:rPr>
        <w:t xml:space="preserve">M. Milne-Ives-C. Lam-C. De Cock-M.H. Van Velthoven-E. Meinert, </w:t>
      </w:r>
      <w:r w:rsidRPr="00B118FD">
        <w:rPr>
          <w:rFonts w:ascii="Times" w:hAnsi="Times"/>
          <w:noProof/>
          <w:sz w:val="18"/>
          <w:szCs w:val="20"/>
          <w:lang w:val="en-US"/>
        </w:rPr>
        <w:t>Mobile apps for health behavior change in physical activity, diet, drug and alcohol use, and mental health: Systematic review</w:t>
      </w:r>
      <w:r w:rsidRPr="00B118FD">
        <w:rPr>
          <w:rFonts w:ascii="Times" w:hAnsi="Times"/>
          <w:i/>
          <w:iCs/>
          <w:noProof/>
          <w:sz w:val="18"/>
          <w:szCs w:val="20"/>
          <w:lang w:val="en-GB"/>
        </w:rPr>
        <w:t>. JMIR mHealth and uHealt</w:t>
      </w:r>
      <w:r w:rsidRPr="00B118FD">
        <w:rPr>
          <w:rFonts w:ascii="Times" w:hAnsi="Times"/>
          <w:noProof/>
          <w:sz w:val="18"/>
          <w:szCs w:val="20"/>
          <w:lang w:val="en-GB"/>
        </w:rPr>
        <w:t xml:space="preserve">, </w:t>
      </w:r>
      <w:r w:rsidRPr="00B118FD">
        <w:rPr>
          <w:rFonts w:ascii="Times" w:hAnsi="Times"/>
          <w:i/>
          <w:iCs/>
          <w:noProof/>
          <w:sz w:val="18"/>
          <w:szCs w:val="20"/>
          <w:lang w:val="en-GB"/>
        </w:rPr>
        <w:t>8</w:t>
      </w:r>
      <w:r w:rsidRPr="00B118FD">
        <w:rPr>
          <w:rFonts w:ascii="Times" w:hAnsi="Times"/>
          <w:noProof/>
          <w:sz w:val="18"/>
          <w:szCs w:val="20"/>
          <w:lang w:val="en-GB"/>
        </w:rPr>
        <w:t>, e17046, 2020.</w:t>
      </w:r>
    </w:p>
    <w:p w14:paraId="230121EF" w14:textId="0F101822" w:rsidR="007E2B78" w:rsidRPr="004D4FE2" w:rsidRDefault="00997C09" w:rsidP="00E21DBF">
      <w:pPr>
        <w:pStyle w:val="NormaleWeb"/>
        <w:shd w:val="clear" w:color="auto" w:fill="FFFFFF"/>
        <w:spacing w:before="0" w:beforeAutospacing="0" w:after="0" w:afterAutospacing="0" w:line="220" w:lineRule="atLeast"/>
        <w:ind w:left="360"/>
        <w:rPr>
          <w:rFonts w:ascii="Times" w:hAnsi="Times"/>
          <w:noProof/>
          <w:sz w:val="18"/>
          <w:szCs w:val="20"/>
        </w:rPr>
      </w:pPr>
      <w:r w:rsidRPr="004D4FE2">
        <w:rPr>
          <w:rFonts w:ascii="Times" w:hAnsi="Times"/>
          <w:smallCaps/>
          <w:noProof/>
          <w:sz w:val="16"/>
          <w:szCs w:val="18"/>
          <w:lang w:val="en-GB"/>
        </w:rPr>
        <w:t>A. Kankanhalli-J. Shin-H. Oh</w:t>
      </w:r>
      <w:r w:rsidRPr="004D4FE2">
        <w:rPr>
          <w:rFonts w:ascii="Times" w:hAnsi="Times"/>
          <w:noProof/>
          <w:sz w:val="18"/>
          <w:szCs w:val="20"/>
          <w:lang w:val="en-GB"/>
        </w:rPr>
        <w:t>, Mobile-Based interventions for dietary behavior change and health outcomes: Scoping review.</w:t>
      </w:r>
      <w:r w:rsidR="00E21DBF" w:rsidRPr="004D4FE2">
        <w:rPr>
          <w:rFonts w:ascii="Times" w:hAnsi="Times"/>
          <w:noProof/>
          <w:sz w:val="18"/>
          <w:szCs w:val="20"/>
          <w:lang w:val="en-GB"/>
        </w:rPr>
        <w:t xml:space="preserve"> </w:t>
      </w:r>
      <w:r w:rsidRPr="004D4FE2">
        <w:rPr>
          <w:rFonts w:ascii="Times" w:hAnsi="Times"/>
          <w:i/>
          <w:iCs/>
          <w:noProof/>
          <w:sz w:val="18"/>
          <w:szCs w:val="20"/>
        </w:rPr>
        <w:t>JMIR mHealth and uHealth</w:t>
      </w:r>
      <w:r w:rsidRPr="004D4FE2">
        <w:rPr>
          <w:rFonts w:ascii="Times" w:hAnsi="Times"/>
          <w:noProof/>
          <w:sz w:val="18"/>
          <w:szCs w:val="20"/>
        </w:rPr>
        <w:t>,</w:t>
      </w:r>
      <w:r w:rsidR="00E21DBF" w:rsidRPr="004D4FE2">
        <w:rPr>
          <w:rFonts w:ascii="Times" w:hAnsi="Times"/>
          <w:noProof/>
          <w:sz w:val="18"/>
          <w:szCs w:val="20"/>
        </w:rPr>
        <w:t xml:space="preserve"> </w:t>
      </w:r>
      <w:r w:rsidRPr="004D4FE2">
        <w:rPr>
          <w:rFonts w:ascii="Times" w:hAnsi="Times"/>
          <w:i/>
          <w:iCs/>
          <w:noProof/>
          <w:sz w:val="18"/>
          <w:szCs w:val="20"/>
        </w:rPr>
        <w:t>7</w:t>
      </w:r>
      <w:r w:rsidRPr="004D4FE2">
        <w:rPr>
          <w:rFonts w:ascii="Times" w:hAnsi="Times"/>
          <w:noProof/>
          <w:sz w:val="18"/>
          <w:szCs w:val="20"/>
        </w:rPr>
        <w:t xml:space="preserve">, </w:t>
      </w:r>
      <w:r w:rsidR="00D84969" w:rsidRPr="004D4FE2">
        <w:rPr>
          <w:rFonts w:ascii="Times" w:hAnsi="Times"/>
          <w:noProof/>
          <w:sz w:val="18"/>
          <w:szCs w:val="20"/>
        </w:rPr>
        <w:t>1-13, 2019</w:t>
      </w:r>
      <w:r w:rsidRPr="004D4FE2">
        <w:rPr>
          <w:rFonts w:ascii="Times" w:hAnsi="Times"/>
          <w:noProof/>
          <w:sz w:val="18"/>
          <w:szCs w:val="20"/>
        </w:rPr>
        <w:t>.</w:t>
      </w:r>
    </w:p>
    <w:p w14:paraId="77801234" w14:textId="0AB950F4" w:rsidR="007466AB" w:rsidRPr="004D4FE2" w:rsidRDefault="007466AB" w:rsidP="00E21DBF">
      <w:pPr>
        <w:pStyle w:val="NormaleWeb"/>
        <w:shd w:val="clear" w:color="auto" w:fill="FFFFFF"/>
        <w:spacing w:before="0" w:beforeAutospacing="0" w:after="0" w:afterAutospacing="0" w:line="220" w:lineRule="atLeast"/>
        <w:ind w:left="360"/>
        <w:rPr>
          <w:rFonts w:ascii="Times" w:hAnsi="Times"/>
          <w:noProof/>
          <w:sz w:val="18"/>
          <w:szCs w:val="20"/>
        </w:rPr>
      </w:pPr>
      <w:r w:rsidRPr="004D4FE2">
        <w:rPr>
          <w:rFonts w:ascii="Times" w:hAnsi="Times"/>
          <w:smallCaps/>
          <w:noProof/>
          <w:sz w:val="16"/>
          <w:szCs w:val="18"/>
        </w:rPr>
        <w:t>Due articoli di ricerca</w:t>
      </w:r>
      <w:r w:rsidRPr="004D4FE2">
        <w:rPr>
          <w:rFonts w:ascii="Times" w:hAnsi="Times"/>
          <w:noProof/>
          <w:sz w:val="18"/>
          <w:szCs w:val="20"/>
        </w:rPr>
        <w:t xml:space="preserve"> specifici del lavoro di gruppo scelto.</w:t>
      </w:r>
    </w:p>
    <w:p w14:paraId="3673AEF2" w14:textId="2289F660" w:rsidR="00693226" w:rsidRPr="004D4FE2" w:rsidRDefault="00693226" w:rsidP="00E21DBF">
      <w:pPr>
        <w:pStyle w:val="NormaleWeb"/>
        <w:shd w:val="clear" w:color="auto" w:fill="FFFFFF"/>
        <w:spacing w:before="120" w:beforeAutospacing="0" w:after="0" w:afterAutospacing="0" w:line="220" w:lineRule="atLeast"/>
        <w:rPr>
          <w:rFonts w:ascii="Times" w:hAnsi="Times"/>
          <w:bCs/>
          <w:noProof/>
          <w:sz w:val="18"/>
          <w:szCs w:val="20"/>
          <w:lang w:val="en-GB"/>
        </w:rPr>
      </w:pPr>
      <w:proofErr w:type="spellStart"/>
      <w:r w:rsidRPr="004D4FE2">
        <w:rPr>
          <w:bCs/>
          <w:i/>
          <w:sz w:val="18"/>
          <w:lang w:val="en-GB"/>
        </w:rPr>
        <w:t>Percorso</w:t>
      </w:r>
      <w:proofErr w:type="spellEnd"/>
      <w:r w:rsidRPr="004D4FE2">
        <w:rPr>
          <w:bCs/>
          <w:i/>
          <w:sz w:val="18"/>
          <w:lang w:val="en-GB"/>
        </w:rPr>
        <w:t xml:space="preserve"> </w:t>
      </w:r>
      <w:proofErr w:type="spellStart"/>
      <w:r w:rsidRPr="004D4FE2">
        <w:rPr>
          <w:bCs/>
          <w:i/>
          <w:sz w:val="18"/>
          <w:lang w:val="en-GB"/>
        </w:rPr>
        <w:t>basato</w:t>
      </w:r>
      <w:proofErr w:type="spellEnd"/>
      <w:r w:rsidRPr="004D4FE2">
        <w:rPr>
          <w:bCs/>
          <w:i/>
          <w:sz w:val="18"/>
          <w:lang w:val="en-GB"/>
        </w:rPr>
        <w:t xml:space="preserve"> sui </w:t>
      </w:r>
      <w:proofErr w:type="spellStart"/>
      <w:r w:rsidRPr="004D4FE2">
        <w:rPr>
          <w:bCs/>
          <w:i/>
          <w:sz w:val="18"/>
          <w:lang w:val="en-GB"/>
        </w:rPr>
        <w:t>testi</w:t>
      </w:r>
      <w:proofErr w:type="spellEnd"/>
    </w:p>
    <w:p w14:paraId="7A3F8D1D" w14:textId="6459110D" w:rsidR="00997C09" w:rsidRPr="00AD2513" w:rsidRDefault="005A1240" w:rsidP="003B45AA">
      <w:pPr>
        <w:pStyle w:val="Testo1"/>
        <w:numPr>
          <w:ilvl w:val="0"/>
          <w:numId w:val="4"/>
        </w:numPr>
        <w:spacing w:before="0"/>
      </w:pPr>
      <w:r w:rsidRPr="00AD2513">
        <w:rPr>
          <w:smallCaps/>
          <w:sz w:val="16"/>
        </w:rPr>
        <w:t>P</w:t>
      </w:r>
      <w:r w:rsidR="00BC342E" w:rsidRPr="00AD2513">
        <w:rPr>
          <w:smallCaps/>
          <w:sz w:val="16"/>
        </w:rPr>
        <w:t xml:space="preserve">. </w:t>
      </w:r>
      <w:r w:rsidRPr="00AD2513">
        <w:rPr>
          <w:smallCaps/>
          <w:sz w:val="16"/>
        </w:rPr>
        <w:t>Catellani</w:t>
      </w:r>
      <w:r w:rsidR="00BC342E" w:rsidRPr="00AD2513">
        <w:rPr>
          <w:smallCaps/>
          <w:sz w:val="16"/>
        </w:rPr>
        <w:t>-</w:t>
      </w:r>
      <w:r w:rsidRPr="00AD2513">
        <w:rPr>
          <w:smallCaps/>
          <w:sz w:val="16"/>
        </w:rPr>
        <w:t>V</w:t>
      </w:r>
      <w:r w:rsidR="00BC342E" w:rsidRPr="00AD2513">
        <w:rPr>
          <w:smallCaps/>
          <w:sz w:val="16"/>
        </w:rPr>
        <w:t xml:space="preserve">. </w:t>
      </w:r>
      <w:r w:rsidRPr="00AD2513">
        <w:rPr>
          <w:smallCaps/>
          <w:sz w:val="16"/>
        </w:rPr>
        <w:t>Carfora</w:t>
      </w:r>
      <w:r w:rsidR="00BC342E" w:rsidRPr="00AD2513">
        <w:rPr>
          <w:smallCaps/>
          <w:sz w:val="16"/>
        </w:rPr>
        <w:t>,</w:t>
      </w:r>
      <w:r w:rsidR="00BC342E" w:rsidRPr="00AD2513">
        <w:rPr>
          <w:i/>
        </w:rPr>
        <w:t xml:space="preserve"> </w:t>
      </w:r>
      <w:r w:rsidRPr="00AD2513">
        <w:rPr>
          <w:i/>
        </w:rPr>
        <w:t>Psicologia Sociale dell’Alimentazione</w:t>
      </w:r>
      <w:r w:rsidR="00BC342E" w:rsidRPr="00AD2513">
        <w:rPr>
          <w:i/>
        </w:rPr>
        <w:t>,</w:t>
      </w:r>
      <w:r w:rsidRPr="00AD2513">
        <w:t xml:space="preserve"> Vita e Pensiero</w:t>
      </w:r>
      <w:r w:rsidR="00BC342E" w:rsidRPr="00AD2513">
        <w:t xml:space="preserve">, </w:t>
      </w:r>
      <w:r w:rsidRPr="00AD2513">
        <w:t>Milano</w:t>
      </w:r>
      <w:r w:rsidR="00BC342E" w:rsidRPr="00AD2513">
        <w:t xml:space="preserve">, </w:t>
      </w:r>
      <w:r w:rsidRPr="00AD2513">
        <w:t>2022</w:t>
      </w:r>
      <w:r w:rsidR="00BC342E" w:rsidRPr="00AD2513">
        <w:t>.</w:t>
      </w:r>
      <w:r w:rsidR="009743A4" w:rsidRPr="00AD2513">
        <w:t xml:space="preserve"> </w:t>
      </w:r>
    </w:p>
    <w:p w14:paraId="09523EAC" w14:textId="69224D2B" w:rsidR="007E2B78" w:rsidRPr="00AD2513" w:rsidRDefault="003B45AA" w:rsidP="003B45AA">
      <w:pPr>
        <w:pStyle w:val="Testo1"/>
        <w:numPr>
          <w:ilvl w:val="0"/>
          <w:numId w:val="4"/>
        </w:numPr>
        <w:spacing w:before="0"/>
      </w:pPr>
      <w:r w:rsidRPr="00AD2513">
        <w:t>Lettura di a</w:t>
      </w:r>
      <w:r w:rsidR="007E2B78" w:rsidRPr="00AD2513">
        <w:t xml:space="preserve">rticoli </w:t>
      </w:r>
      <w:r w:rsidRPr="00AD2513">
        <w:t>di ricerca scaricabili da Blackboard</w:t>
      </w:r>
      <w:r w:rsidR="007E2B78" w:rsidRPr="00AD2513">
        <w:t>:</w:t>
      </w:r>
    </w:p>
    <w:p w14:paraId="02B9A401" w14:textId="77777777" w:rsidR="001E402A" w:rsidRPr="00B75516" w:rsidRDefault="001E402A" w:rsidP="001E402A">
      <w:pPr>
        <w:pStyle w:val="Testo1"/>
        <w:numPr>
          <w:ilvl w:val="0"/>
          <w:numId w:val="4"/>
        </w:numPr>
        <w:spacing w:before="0"/>
        <w:rPr>
          <w:sz w:val="16"/>
          <w:szCs w:val="18"/>
          <w:lang w:val="en-GB"/>
        </w:rPr>
      </w:pPr>
      <w:r w:rsidRPr="00B75516">
        <w:rPr>
          <w:smallCaps/>
          <w:sz w:val="16"/>
          <w:lang w:val="en-GB"/>
        </w:rPr>
        <w:t>S.A. Wright-A.E. Schultz</w:t>
      </w:r>
      <w:r w:rsidRPr="00B75516">
        <w:rPr>
          <w:smallCaps/>
          <w:sz w:val="16"/>
          <w:szCs w:val="18"/>
          <w:lang w:val="en-GB"/>
        </w:rPr>
        <w:t>,</w:t>
      </w:r>
      <w:r w:rsidRPr="00B75516">
        <w:rPr>
          <w:sz w:val="16"/>
          <w:szCs w:val="18"/>
          <w:lang w:val="en-GB"/>
        </w:rPr>
        <w:t xml:space="preserve"> </w:t>
      </w:r>
      <w:r w:rsidRPr="00B75516">
        <w:rPr>
          <w:lang w:val="en-GB"/>
        </w:rPr>
        <w:t>Too gritty to indulge: Grit and indulgent food choices.</w:t>
      </w:r>
      <w:r>
        <w:rPr>
          <w:lang w:val="en-GB"/>
        </w:rPr>
        <w:t xml:space="preserve"> </w:t>
      </w:r>
      <w:r w:rsidRPr="00B75516">
        <w:rPr>
          <w:i/>
          <w:iCs/>
          <w:lang w:val="en-GB"/>
        </w:rPr>
        <w:t>Journal of Business Research</w:t>
      </w:r>
      <w:r w:rsidRPr="00B75516">
        <w:rPr>
          <w:lang w:val="en-GB"/>
        </w:rPr>
        <w:t>, 139, 173-183, 2022.</w:t>
      </w:r>
    </w:p>
    <w:p w14:paraId="26D578A1" w14:textId="77777777" w:rsidR="001E402A" w:rsidRPr="00B75516" w:rsidRDefault="001E402A" w:rsidP="001E402A">
      <w:pPr>
        <w:pStyle w:val="Testo1"/>
        <w:numPr>
          <w:ilvl w:val="0"/>
          <w:numId w:val="4"/>
        </w:numPr>
        <w:spacing w:before="0" w:line="240" w:lineRule="atLeast"/>
        <w:rPr>
          <w:lang w:val="en-GB"/>
        </w:rPr>
      </w:pPr>
      <w:r w:rsidRPr="00B75516">
        <w:rPr>
          <w:smallCaps/>
          <w:sz w:val="16"/>
          <w:szCs w:val="18"/>
          <w:lang w:val="en-GB"/>
        </w:rPr>
        <w:t>P.G. Hansen-M. Schilling-M.S. Malthesen,</w:t>
      </w:r>
      <w:r w:rsidRPr="00B75516">
        <w:rPr>
          <w:sz w:val="16"/>
          <w:szCs w:val="18"/>
          <w:lang w:val="en-GB"/>
        </w:rPr>
        <w:t xml:space="preserve"> </w:t>
      </w:r>
      <w:r w:rsidRPr="00B75516">
        <w:rPr>
          <w:lang w:val="en-GB"/>
        </w:rPr>
        <w:t xml:space="preserve">Nudging healthy and sustainable food choices: three randomized controlled field experiments using a vegetarian lunch-default as a normative signal. </w:t>
      </w:r>
      <w:r w:rsidRPr="00B75516">
        <w:rPr>
          <w:i/>
          <w:iCs/>
          <w:lang w:val="en-GB"/>
        </w:rPr>
        <w:t>Journal of Public Health</w:t>
      </w:r>
      <w:r w:rsidRPr="00B75516">
        <w:rPr>
          <w:lang w:val="en-GB"/>
        </w:rPr>
        <w:t>, 43, 392-397, 2019.</w:t>
      </w:r>
    </w:p>
    <w:p w14:paraId="7EC1D19B" w14:textId="66819028" w:rsidR="00D83D0A" w:rsidRPr="004D4FE2" w:rsidRDefault="001E402A" w:rsidP="001E402A">
      <w:pPr>
        <w:pStyle w:val="Testo1"/>
        <w:numPr>
          <w:ilvl w:val="0"/>
          <w:numId w:val="4"/>
        </w:numPr>
        <w:spacing w:before="0"/>
      </w:pPr>
      <w:r w:rsidRPr="00CC16E4">
        <w:rPr>
          <w:smallCaps/>
          <w:sz w:val="16"/>
          <w:lang w:val="en-GB"/>
        </w:rPr>
        <w:t>S. Blondin-S. Attwood-D. Vennard-V. Mayneris</w:t>
      </w:r>
      <w:r w:rsidRPr="00CC16E4">
        <w:rPr>
          <w:smallCaps/>
          <w:sz w:val="16"/>
          <w:szCs w:val="18"/>
          <w:lang w:val="en-GB"/>
        </w:rPr>
        <w:t xml:space="preserve">, </w:t>
      </w:r>
      <w:r w:rsidRPr="00424FE3">
        <w:rPr>
          <w:i/>
          <w:iCs/>
          <w:lang w:val="en-GB"/>
        </w:rPr>
        <w:t>Environmental messages promote plant-based food choices: An online restaurant menu study</w:t>
      </w:r>
      <w:r w:rsidRPr="00CC16E4">
        <w:rPr>
          <w:lang w:val="en-GB"/>
        </w:rPr>
        <w:t>.</w:t>
      </w:r>
      <w:r>
        <w:rPr>
          <w:lang w:val="en-GB"/>
        </w:rPr>
        <w:t xml:space="preserve"> World Research Institute,</w:t>
      </w:r>
      <w:r w:rsidRPr="00CC16E4">
        <w:rPr>
          <w:szCs w:val="18"/>
          <w:lang w:val="en-GB"/>
        </w:rPr>
        <w:t xml:space="preserve"> 2022.</w:t>
      </w:r>
    </w:p>
    <w:p w14:paraId="4DF81088" w14:textId="381E1EB9" w:rsidR="00BC342E" w:rsidRPr="00B01F07" w:rsidRDefault="00BF7651" w:rsidP="00BF7651">
      <w:pPr>
        <w:spacing w:before="240" w:after="120" w:line="220" w:lineRule="exact"/>
        <w:rPr>
          <w:b/>
          <w:i/>
          <w:sz w:val="18"/>
        </w:rPr>
      </w:pPr>
      <w:r w:rsidRPr="00B01F07">
        <w:rPr>
          <w:b/>
          <w:i/>
          <w:sz w:val="18"/>
        </w:rPr>
        <w:t>DIDATTICA DEL CORSO</w:t>
      </w:r>
    </w:p>
    <w:p w14:paraId="409F22B3" w14:textId="77777777" w:rsidR="00BF7651" w:rsidRPr="00354424" w:rsidRDefault="00BF7651" w:rsidP="00BF7651">
      <w:pPr>
        <w:pStyle w:val="Testo2"/>
        <w:spacing w:after="120"/>
      </w:pPr>
      <w:r w:rsidRPr="00B01F07">
        <w:t>Lezioni in aula, discussione di ricerche empiriche, utilizzo di supporti online su piattaforma Blackboard.</w:t>
      </w:r>
    </w:p>
    <w:p w14:paraId="3402F915" w14:textId="050C780A" w:rsidR="00BF7651" w:rsidRPr="004D4FE2" w:rsidRDefault="005843D2" w:rsidP="00BF7651">
      <w:pPr>
        <w:pStyle w:val="Testo2"/>
      </w:pPr>
      <w:r w:rsidRPr="004D4FE2">
        <w:t>Partecipazione a ricerche e l</w:t>
      </w:r>
      <w:r w:rsidR="00BF7651" w:rsidRPr="004D4FE2">
        <w:t>avoro di gruppo su</w:t>
      </w:r>
      <w:r w:rsidRPr="004D4FE2">
        <w:t>: a)</w:t>
      </w:r>
      <w:r w:rsidR="00BF7651" w:rsidRPr="004D4FE2">
        <w:t xml:space="preserve"> lettura di </w:t>
      </w:r>
      <w:r w:rsidR="00D960F9" w:rsidRPr="004D4FE2">
        <w:t>due</w:t>
      </w:r>
      <w:r w:rsidR="00BF7651" w:rsidRPr="004D4FE2">
        <w:t xml:space="preserve"> articol</w:t>
      </w:r>
      <w:r w:rsidR="00D960F9" w:rsidRPr="004D4FE2">
        <w:t>i</w:t>
      </w:r>
      <w:r w:rsidR="00BF7651" w:rsidRPr="004D4FE2">
        <w:t xml:space="preserve"> di ricerca</w:t>
      </w:r>
      <w:r w:rsidRPr="004D4FE2">
        <w:t>; b)</w:t>
      </w:r>
      <w:r w:rsidR="00422CAA" w:rsidRPr="004D4FE2">
        <w:t xml:space="preserve"> </w:t>
      </w:r>
      <w:r w:rsidR="007466AB" w:rsidRPr="004D4FE2">
        <w:t>loro</w:t>
      </w:r>
      <w:r w:rsidR="00BF7651" w:rsidRPr="004D4FE2">
        <w:t xml:space="preserve"> presentazione in chiave divulgativa</w:t>
      </w:r>
      <w:r w:rsidRPr="004D4FE2">
        <w:t>; c)</w:t>
      </w:r>
      <w:r w:rsidR="00422CAA" w:rsidRPr="004D4FE2">
        <w:t xml:space="preserve"> </w:t>
      </w:r>
      <w:r w:rsidR="00BF7651" w:rsidRPr="004D4FE2">
        <w:t xml:space="preserve">progetto di </w:t>
      </w:r>
      <w:r w:rsidR="00422CAA" w:rsidRPr="004D4FE2">
        <w:t xml:space="preserve">contenuti per una Mobile App di promozione della sana alimentazione, </w:t>
      </w:r>
      <w:r w:rsidR="00BF7651" w:rsidRPr="004D4FE2">
        <w:t>a partire dai risultati de</w:t>
      </w:r>
      <w:r w:rsidR="007466AB" w:rsidRPr="004D4FE2">
        <w:t>g</w:t>
      </w:r>
      <w:r w:rsidR="00BF7651" w:rsidRPr="004D4FE2">
        <w:t>l</w:t>
      </w:r>
      <w:r w:rsidR="007466AB" w:rsidRPr="004D4FE2">
        <w:t xml:space="preserve">i </w:t>
      </w:r>
      <w:r w:rsidR="00BF7651" w:rsidRPr="004D4FE2">
        <w:t>articol</w:t>
      </w:r>
      <w:r w:rsidR="007466AB" w:rsidRPr="004D4FE2">
        <w:t>i</w:t>
      </w:r>
      <w:r w:rsidR="00BF7651" w:rsidRPr="004D4FE2">
        <w:t xml:space="preserve"> lett</w:t>
      </w:r>
      <w:r w:rsidR="007466AB" w:rsidRPr="004D4FE2">
        <w:t>i</w:t>
      </w:r>
      <w:r w:rsidR="00BF7651" w:rsidRPr="004D4FE2">
        <w:t>.</w:t>
      </w:r>
    </w:p>
    <w:p w14:paraId="711A5C1D" w14:textId="77777777" w:rsidR="00BF7651" w:rsidRPr="004D4FE2" w:rsidRDefault="00BF7651" w:rsidP="00BF7651">
      <w:pPr>
        <w:spacing w:before="240" w:after="120" w:line="220" w:lineRule="exact"/>
        <w:rPr>
          <w:b/>
          <w:i/>
          <w:sz w:val="18"/>
        </w:rPr>
      </w:pPr>
      <w:r w:rsidRPr="004D4FE2">
        <w:rPr>
          <w:b/>
          <w:i/>
          <w:sz w:val="18"/>
        </w:rPr>
        <w:t>METODO E CRITERI DI VALUTAZIONE</w:t>
      </w:r>
    </w:p>
    <w:p w14:paraId="5E51E1C0" w14:textId="77777777" w:rsidR="00F83BD7" w:rsidRPr="004D4FE2" w:rsidRDefault="00F83BD7" w:rsidP="00F83BD7">
      <w:pPr>
        <w:pStyle w:val="Testo2"/>
        <w:spacing w:after="120"/>
      </w:pPr>
      <w:r w:rsidRPr="004D4FE2">
        <w:lastRenderedPageBreak/>
        <w:t>L'esame consisterà in una prova scritta, con possibilità, su richiesta della Commissione d’esame e/o dello studente, di una prova orale di approfondimento e integrazione da effettuarsi secondo le modalità disposte dalla Commissione.</w:t>
      </w:r>
    </w:p>
    <w:p w14:paraId="69BA28B3" w14:textId="77777777" w:rsidR="00BF7651" w:rsidRPr="004D4FE2" w:rsidRDefault="00BF7651" w:rsidP="00BF7651">
      <w:pPr>
        <w:pStyle w:val="Testo2"/>
        <w:spacing w:after="120"/>
      </w:pPr>
      <w:r w:rsidRPr="004D4FE2">
        <w:t>Gli studenti potranno scegliere tra due opzioni di esame.</w:t>
      </w:r>
    </w:p>
    <w:p w14:paraId="25556D3B" w14:textId="231574A8" w:rsidR="00354424" w:rsidRDefault="00BF7651" w:rsidP="00BF7651">
      <w:pPr>
        <w:pStyle w:val="Testo2"/>
        <w:spacing w:after="120"/>
      </w:pPr>
      <w:r w:rsidRPr="004D4FE2">
        <w:t xml:space="preserve">Gli studenti che avranno </w:t>
      </w:r>
      <w:r w:rsidR="00580F66" w:rsidRPr="004D4FE2">
        <w:t>scelto</w:t>
      </w:r>
      <w:r w:rsidRPr="004D4FE2">
        <w:t xml:space="preserve"> </w:t>
      </w:r>
      <w:r w:rsidR="00580F66" w:rsidRPr="004D4FE2">
        <w:t xml:space="preserve">il </w:t>
      </w:r>
      <w:r w:rsidR="00580F66" w:rsidRPr="004D4FE2">
        <w:rPr>
          <w:i/>
          <w:iCs/>
        </w:rPr>
        <w:t>percorso basato sui contenuti delle lezioni</w:t>
      </w:r>
      <w:r w:rsidRPr="004D4FE2">
        <w:t xml:space="preserve"> svolgeranno una prova scritta</w:t>
      </w:r>
      <w:r w:rsidR="003B45AA" w:rsidRPr="004D4FE2">
        <w:t xml:space="preserve"> che</w:t>
      </w:r>
      <w:r w:rsidRPr="004D4FE2">
        <w:t xml:space="preserve"> verterà</w:t>
      </w:r>
      <w:r w:rsidR="003B45AA" w:rsidRPr="004D4FE2">
        <w:t>:</w:t>
      </w:r>
      <w:r w:rsidRPr="004D4FE2">
        <w:t xml:space="preserve"> sugli appunti, </w:t>
      </w:r>
      <w:r w:rsidR="003B45AA" w:rsidRPr="004D4FE2">
        <w:t xml:space="preserve">sul materiale inserito sulla </w:t>
      </w:r>
      <w:r w:rsidRPr="004D4FE2">
        <w:t xml:space="preserve">piattaforma Blackboard a integrazione delle lezioni e sul contributo individuale ai lavori di gruppo svolti durante il corso. La prova sarà composta da dieci domande </w:t>
      </w:r>
      <w:r w:rsidR="00FB59A0">
        <w:t>a risposta multipla</w:t>
      </w:r>
      <w:r w:rsidRPr="004D4FE2">
        <w:t xml:space="preserve"> e </w:t>
      </w:r>
      <w:r w:rsidR="008B506A" w:rsidRPr="004D4FE2">
        <w:t>quattro</w:t>
      </w:r>
      <w:r w:rsidRPr="004D4FE2">
        <w:t xml:space="preserve"> </w:t>
      </w:r>
      <w:r w:rsidR="008B506A" w:rsidRPr="004D4FE2">
        <w:t xml:space="preserve">domande </w:t>
      </w:r>
      <w:r w:rsidR="00FB59A0">
        <w:t xml:space="preserve">a risposta </w:t>
      </w:r>
      <w:r w:rsidRPr="004D4FE2">
        <w:t>apert</w:t>
      </w:r>
      <w:r w:rsidR="00FB59A0">
        <w:t>a</w:t>
      </w:r>
      <w:r w:rsidRPr="004D4FE2">
        <w:t xml:space="preserve">. </w:t>
      </w:r>
      <w:r w:rsidR="00FB59A0">
        <w:t>Ciascuna</w:t>
      </w:r>
      <w:r w:rsidRPr="004D4FE2">
        <w:t xml:space="preserve"> domand</w:t>
      </w:r>
      <w:r w:rsidR="00FB59A0">
        <w:t>a</w:t>
      </w:r>
      <w:r w:rsidRPr="004D4FE2">
        <w:t xml:space="preserve"> a risposta multipla verrà valutata con un punteggio di 0 (in caso di risposta errata o mancante) o 1 (in caso di risposta corretta). Ciascuna delle </w:t>
      </w:r>
      <w:r w:rsidR="00FB59A0">
        <w:t xml:space="preserve">risposte a </w:t>
      </w:r>
      <w:r w:rsidRPr="00B01F07">
        <w:t>domand</w:t>
      </w:r>
      <w:r w:rsidR="00FB59A0">
        <w:t>a</w:t>
      </w:r>
      <w:r w:rsidRPr="00B01F07">
        <w:t xml:space="preserve"> apert</w:t>
      </w:r>
      <w:r w:rsidR="00FB59A0">
        <w:t>a</w:t>
      </w:r>
      <w:r w:rsidRPr="00B01F07">
        <w:t xml:space="preserve"> sarà invece valutata co</w:t>
      </w:r>
      <w:r w:rsidRPr="00354424">
        <w:t>n un punteggio da 0 (</w:t>
      </w:r>
      <w:r w:rsidR="00604311" w:rsidRPr="00354424">
        <w:t>in caso di risposta errata o mancante</w:t>
      </w:r>
      <w:r w:rsidRPr="00354424">
        <w:t xml:space="preserve">) a 5 (in caso di risposta pienamente adeguata). </w:t>
      </w:r>
      <w:r w:rsidR="008B506A" w:rsidRPr="00354424">
        <w:t xml:space="preserve">Una delle domande aperte sarà sul lavoro di gruppo e il punteggio della risposta a questa domanda, cumulato con quello </w:t>
      </w:r>
      <w:r w:rsidRPr="00354424">
        <w:t>del lavoro di gruppo, vari</w:t>
      </w:r>
      <w:r w:rsidR="008B506A" w:rsidRPr="00354424">
        <w:t>erà</w:t>
      </w:r>
      <w:r w:rsidRPr="00354424">
        <w:t xml:space="preserve"> </w:t>
      </w:r>
      <w:r w:rsidR="00604311" w:rsidRPr="00354424">
        <w:t xml:space="preserve">anch’esso </w:t>
      </w:r>
      <w:r w:rsidRPr="00354424">
        <w:t>tra 0 (</w:t>
      </w:r>
      <w:r w:rsidR="00604311" w:rsidRPr="00354424">
        <w:t>in caso di risposta errata o mancante</w:t>
      </w:r>
      <w:r w:rsidRPr="00994F34">
        <w:t xml:space="preserve">) </w:t>
      </w:r>
      <w:r w:rsidR="008B506A" w:rsidRPr="00994F34">
        <w:t>e</w:t>
      </w:r>
      <w:r w:rsidRPr="00994F34">
        <w:t xml:space="preserve"> 5 (</w:t>
      </w:r>
      <w:r w:rsidR="00604311" w:rsidRPr="00994F34">
        <w:t>in caso di risposta pienamente adeguata</w:t>
      </w:r>
      <w:r w:rsidRPr="00994F34">
        <w:t>).</w:t>
      </w:r>
      <w:r w:rsidR="00D21025" w:rsidRPr="00994F34">
        <w:t xml:space="preserve"> </w:t>
      </w:r>
      <w:r w:rsidR="00604311" w:rsidRPr="00994F34">
        <w:t>A</w:t>
      </w:r>
      <w:r w:rsidR="00D21025" w:rsidRPr="00994F34">
        <w:t xml:space="preserve">i fini della valutazione </w:t>
      </w:r>
      <w:r w:rsidR="00604311" w:rsidRPr="00994F34">
        <w:t>di adeguatezza c</w:t>
      </w:r>
      <w:r w:rsidR="00D21025" w:rsidRPr="00994F34">
        <w:t xml:space="preserve">oncorreranno la pertinenza, precisione e completezza delle </w:t>
      </w:r>
      <w:r w:rsidR="00D21025" w:rsidRPr="004D4FE2">
        <w:t xml:space="preserve">risposte, </w:t>
      </w:r>
      <w:r w:rsidR="00604311" w:rsidRPr="004D4FE2">
        <w:t xml:space="preserve">nonché </w:t>
      </w:r>
      <w:r w:rsidR="00D21025" w:rsidRPr="004D4FE2">
        <w:t>l’uso appropriato della terminologia specifica.</w:t>
      </w:r>
      <w:r w:rsidR="00354424">
        <w:t xml:space="preserve"> </w:t>
      </w:r>
      <w:r w:rsidR="00994F34">
        <w:t xml:space="preserve">Gli stessi criteri di valutazione varranno per l’eventuale prova di approfondimento orale. </w:t>
      </w:r>
      <w:r w:rsidR="00354424" w:rsidRPr="009A0010">
        <w:t>La lode sarà attribuita a seguito di una eccellente prestazione nelle diverse attività previste dall’insegnamento.</w:t>
      </w:r>
    </w:p>
    <w:p w14:paraId="2ADEABA3" w14:textId="3A5E6FE9" w:rsidR="00BF7651" w:rsidRPr="004D4FE2" w:rsidRDefault="00BF7651" w:rsidP="00BF7651">
      <w:pPr>
        <w:pStyle w:val="Testo2"/>
        <w:spacing w:after="120"/>
      </w:pPr>
      <w:r w:rsidRPr="00354424">
        <w:t xml:space="preserve">Gli studenti che </w:t>
      </w:r>
      <w:r w:rsidR="00580F66" w:rsidRPr="00354424">
        <w:t xml:space="preserve">avranno scelto il </w:t>
      </w:r>
      <w:r w:rsidR="00580F66" w:rsidRPr="00354424">
        <w:rPr>
          <w:i/>
          <w:iCs/>
        </w:rPr>
        <w:t>percorso basato sui testi</w:t>
      </w:r>
      <w:r w:rsidRPr="00354424">
        <w:t xml:space="preserve"> </w:t>
      </w:r>
      <w:r w:rsidR="00580F66" w:rsidRPr="00354424">
        <w:t xml:space="preserve">svolgeranno </w:t>
      </w:r>
      <w:r w:rsidRPr="00994F34">
        <w:t>una prova scritta</w:t>
      </w:r>
      <w:r w:rsidR="003B45AA" w:rsidRPr="00994F34">
        <w:t xml:space="preserve"> che ver</w:t>
      </w:r>
      <w:r w:rsidRPr="004D4FE2">
        <w:t>terà</w:t>
      </w:r>
      <w:r w:rsidR="003B45AA" w:rsidRPr="004D4FE2">
        <w:t>:</w:t>
      </w:r>
      <w:r w:rsidRPr="004D4FE2">
        <w:t xml:space="preserve"> sul testo</w:t>
      </w:r>
      <w:r w:rsidR="00195C3F" w:rsidRPr="004D4FE2">
        <w:t xml:space="preserve"> </w:t>
      </w:r>
      <w:r w:rsidR="005C7C7A" w:rsidRPr="004D4FE2">
        <w:t>indicato in Bibliografia e su</w:t>
      </w:r>
      <w:r w:rsidR="00195C3F" w:rsidRPr="004D4FE2">
        <w:t>gli articoli di ricerca</w:t>
      </w:r>
      <w:r w:rsidRPr="004D4FE2">
        <w:t xml:space="preserve"> </w:t>
      </w:r>
      <w:r w:rsidR="005C7C7A" w:rsidRPr="004D4FE2">
        <w:t xml:space="preserve">anch’essi indicati in Bibliografia e </w:t>
      </w:r>
      <w:r w:rsidRPr="004D4FE2">
        <w:t>scarica</w:t>
      </w:r>
      <w:r w:rsidR="005C7C7A" w:rsidRPr="004D4FE2">
        <w:t>bili</w:t>
      </w:r>
      <w:r w:rsidRPr="004D4FE2">
        <w:t xml:space="preserve"> </w:t>
      </w:r>
      <w:r w:rsidR="005C7C7A" w:rsidRPr="004D4FE2">
        <w:t>d</w:t>
      </w:r>
      <w:r w:rsidRPr="004D4FE2">
        <w:t xml:space="preserve">alla piattaforma Blackboard. La prova sarà composta da dieci domande chiuse e quattro domande </w:t>
      </w:r>
      <w:r w:rsidR="00FB59A0">
        <w:t xml:space="preserve">a risposta </w:t>
      </w:r>
      <w:r w:rsidRPr="004D4FE2">
        <w:t>apert</w:t>
      </w:r>
      <w:r w:rsidR="00FB59A0">
        <w:t>a</w:t>
      </w:r>
      <w:r w:rsidRPr="004D4FE2">
        <w:t xml:space="preserve">. I </w:t>
      </w:r>
      <w:r w:rsidR="00FB59A0">
        <w:t>criteri di valutazione</w:t>
      </w:r>
      <w:r w:rsidRPr="004D4FE2">
        <w:t xml:space="preserve"> saranno </w:t>
      </w:r>
      <w:bookmarkStart w:id="1" w:name="_Hlk102562317"/>
      <w:r w:rsidRPr="004D4FE2">
        <w:t xml:space="preserve">gli stessi utilizzati nella prova </w:t>
      </w:r>
      <w:r w:rsidR="00717B20">
        <w:t>del percorso basato sui contenuti delle lezioni</w:t>
      </w:r>
      <w:r w:rsidRPr="004D4FE2">
        <w:t xml:space="preserve"> (vedi sopra).</w:t>
      </w:r>
      <w:bookmarkEnd w:id="1"/>
    </w:p>
    <w:p w14:paraId="1DAACD23" w14:textId="77777777" w:rsidR="00BF7651" w:rsidRPr="004D4FE2" w:rsidRDefault="00BF7651" w:rsidP="00BF7651">
      <w:pPr>
        <w:spacing w:before="240" w:after="120"/>
        <w:rPr>
          <w:b/>
          <w:i/>
          <w:sz w:val="18"/>
        </w:rPr>
      </w:pPr>
      <w:r w:rsidRPr="004D4FE2">
        <w:rPr>
          <w:b/>
          <w:i/>
          <w:sz w:val="18"/>
        </w:rPr>
        <w:t>AVVERTENZE E PREREQUISITI</w:t>
      </w:r>
    </w:p>
    <w:p w14:paraId="5659CAD9" w14:textId="77777777" w:rsidR="006853D6" w:rsidRPr="004D4FE2" w:rsidRDefault="006853D6" w:rsidP="006853D6">
      <w:pPr>
        <w:pStyle w:val="Testo2"/>
        <w:rPr>
          <w:rFonts w:ascii="Times New Roman" w:hAnsi="Times New Roman"/>
          <w:i/>
          <w:iCs/>
        </w:rPr>
      </w:pPr>
      <w:r w:rsidRPr="00AD2513">
        <w:t>Lo studente dovrà possedere conoscenze di base in relazione alle teorie e ai metodi della psicologia sociale.</w:t>
      </w:r>
    </w:p>
    <w:p w14:paraId="3C8C7E26" w14:textId="77777777" w:rsidR="00BF7651" w:rsidRPr="00B01F07" w:rsidRDefault="00BF7651" w:rsidP="00BF7651">
      <w:pPr>
        <w:pStyle w:val="Testo2"/>
        <w:spacing w:before="120"/>
        <w:rPr>
          <w:rFonts w:ascii="Times New Roman" w:hAnsi="Times New Roman"/>
        </w:rPr>
      </w:pPr>
      <w:r w:rsidRPr="00B01F07">
        <w:rPr>
          <w:rFonts w:ascii="Times New Roman" w:hAnsi="Times New Roman"/>
        </w:rPr>
        <w:t xml:space="preserve">All’indirizzo </w:t>
      </w:r>
      <w:r w:rsidRPr="00B01F07">
        <w:rPr>
          <w:rFonts w:ascii="Times New Roman" w:hAnsi="Times New Roman"/>
          <w:i/>
        </w:rPr>
        <w:t>http://blackboard.unicatt.it</w:t>
      </w:r>
      <w:r w:rsidRPr="00B01F07">
        <w:rPr>
          <w:rFonts w:ascii="Times New Roman" w:hAnsi="Times New Roman"/>
        </w:rPr>
        <w:t xml:space="preserve"> gli studenti iscritti possono trovare supporti online al corso.</w:t>
      </w:r>
    </w:p>
    <w:p w14:paraId="74D047C0" w14:textId="7C46A3E6" w:rsidR="00BF7651" w:rsidRPr="004D4FE2" w:rsidRDefault="00BF7651" w:rsidP="00BF7651">
      <w:pPr>
        <w:pStyle w:val="Testo2"/>
        <w:spacing w:after="120"/>
        <w:rPr>
          <w:rFonts w:ascii="Times New Roman" w:hAnsi="Times New Roman"/>
        </w:rPr>
      </w:pPr>
      <w:r w:rsidRPr="00354424">
        <w:rPr>
          <w:rFonts w:ascii="Times New Roman" w:hAnsi="Times New Roman"/>
        </w:rPr>
        <w:t xml:space="preserve">Per informazioni circa il corso gli studenti possono anche consultare l’aula virtuale del docente </w:t>
      </w:r>
      <w:r w:rsidR="005843D2" w:rsidRPr="00354424">
        <w:rPr>
          <w:rFonts w:ascii="Times New Roman" w:hAnsi="Times New Roman"/>
        </w:rPr>
        <w:t>(</w:t>
      </w:r>
      <w:hyperlink r:id="rId8" w:history="1">
        <w:r w:rsidR="005843D2" w:rsidRPr="004D4FE2">
          <w:rPr>
            <w:rStyle w:val="Collegamentoipertestuale"/>
            <w:rFonts w:ascii="Times New Roman" w:hAnsi="Times New Roman"/>
            <w:i/>
            <w:iCs/>
          </w:rPr>
          <w:t>https://docenti.unicatt.it/ppd2/it/docenti/02902/patrizia-catellani/didattica</w:t>
        </w:r>
        <w:r w:rsidR="005843D2" w:rsidRPr="00B01F07">
          <w:rPr>
            <w:rStyle w:val="Collegamentoipertestuale"/>
            <w:rFonts w:ascii="Times New Roman" w:hAnsi="Times New Roman"/>
          </w:rPr>
          <w:t>)</w:t>
        </w:r>
      </w:hyperlink>
      <w:r w:rsidRPr="004D4FE2">
        <w:rPr>
          <w:rFonts w:ascii="Times New Roman" w:hAnsi="Times New Roman"/>
        </w:rPr>
        <w:t>, oppure rivolgersi alla Dott.ssa Valentina Carfora (</w:t>
      </w:r>
      <w:hyperlink r:id="rId9" w:history="1">
        <w:r w:rsidR="00F83BD7" w:rsidRPr="004D4FE2">
          <w:rPr>
            <w:rStyle w:val="Collegamentoipertestuale"/>
            <w:rFonts w:ascii="Times New Roman" w:hAnsi="Times New Roman"/>
            <w:i/>
          </w:rPr>
          <w:t>valentina.carfora@unicatt.it</w:t>
        </w:r>
      </w:hyperlink>
      <w:r w:rsidRPr="004D4FE2">
        <w:rPr>
          <w:rFonts w:ascii="Times New Roman" w:hAnsi="Times New Roman"/>
        </w:rPr>
        <w:t>).</w:t>
      </w:r>
    </w:p>
    <w:p w14:paraId="53BA2047" w14:textId="77777777" w:rsidR="00F83BD7" w:rsidRPr="00B01F07" w:rsidRDefault="00F83BD7" w:rsidP="00F83BD7">
      <w:pPr>
        <w:spacing w:before="120"/>
        <w:ind w:firstLine="284"/>
        <w:rPr>
          <w:i/>
          <w:iCs/>
          <w:sz w:val="18"/>
          <w:szCs w:val="18"/>
        </w:rPr>
      </w:pPr>
      <w:r w:rsidRPr="00B01F07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EDBF9A4" w14:textId="6AEBDA28" w:rsidR="00D960F9" w:rsidRPr="00354424" w:rsidRDefault="00E21DBF" w:rsidP="00E21DBF">
      <w:pPr>
        <w:spacing w:before="120"/>
        <w:rPr>
          <w:i/>
          <w:iCs/>
          <w:sz w:val="18"/>
          <w:szCs w:val="18"/>
        </w:rPr>
      </w:pPr>
      <w:r w:rsidRPr="00B01F07">
        <w:rPr>
          <w:i/>
          <w:iCs/>
          <w:sz w:val="18"/>
          <w:szCs w:val="18"/>
        </w:rPr>
        <w:tab/>
        <w:t>O</w:t>
      </w:r>
      <w:r w:rsidRPr="00354424">
        <w:rPr>
          <w:i/>
          <w:iCs/>
          <w:sz w:val="18"/>
          <w:szCs w:val="18"/>
        </w:rPr>
        <w:t>rario e luogo di ricevimento degli studenti</w:t>
      </w:r>
    </w:p>
    <w:p w14:paraId="1D5FF76F" w14:textId="4B36F848" w:rsidR="005A1240" w:rsidRPr="005A1240" w:rsidRDefault="00D960F9" w:rsidP="005A1240">
      <w:pPr>
        <w:pStyle w:val="Testo2"/>
        <w:rPr>
          <w:rFonts w:ascii="Times New Roman" w:hAnsi="Times New Roman"/>
          <w:i/>
          <w:iCs/>
        </w:rPr>
      </w:pPr>
      <w:r w:rsidRPr="004D4FE2">
        <w:t>La</w:t>
      </w:r>
      <w:r w:rsidR="009D0BCF" w:rsidRPr="004D4FE2">
        <w:t xml:space="preserve"> Prof.</w:t>
      </w:r>
      <w:r w:rsidRPr="004D4FE2">
        <w:t>ssa</w:t>
      </w:r>
      <w:r w:rsidR="00BF7651" w:rsidRPr="004D4FE2">
        <w:t xml:space="preserve"> Patrizia Catellani riceve gli studenti il giovedì dalle </w:t>
      </w:r>
      <w:r w:rsidR="007C7674" w:rsidRPr="004D4FE2">
        <w:t xml:space="preserve">ore </w:t>
      </w:r>
      <w:r w:rsidR="00BF7651" w:rsidRPr="004D4FE2">
        <w:t xml:space="preserve">11,30 alle </w:t>
      </w:r>
      <w:r w:rsidR="007C7674" w:rsidRPr="004D4FE2">
        <w:t xml:space="preserve">ore </w:t>
      </w:r>
      <w:r w:rsidR="00BF7651" w:rsidRPr="004D4FE2">
        <w:t xml:space="preserve">12,30 (da gennaio a settembre) e dalle </w:t>
      </w:r>
      <w:r w:rsidR="007C7674" w:rsidRPr="004D4FE2">
        <w:t xml:space="preserve">ore </w:t>
      </w:r>
      <w:r w:rsidR="00BF7651" w:rsidRPr="004D4FE2">
        <w:t xml:space="preserve">14,30 alle </w:t>
      </w:r>
      <w:r w:rsidR="007C7674" w:rsidRPr="004D4FE2">
        <w:t xml:space="preserve">ore </w:t>
      </w:r>
      <w:r w:rsidR="00BF7651" w:rsidRPr="004D4FE2">
        <w:t>15,30 (da ottobre a dicembre), presso il Dipartimento di Psicologia (Dominicanum, terzo piano).</w:t>
      </w:r>
    </w:p>
    <w:sectPr w:rsidR="005A1240" w:rsidRPr="005A12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8ADE" w16cex:dateUtc="2022-05-03T09:05:00Z"/>
  <w16cex:commentExtensible w16cex:durableId="261B8B18" w16cex:dateUtc="2022-05-03T09:06:00Z"/>
  <w16cex:commentExtensible w16cex:durableId="261B8B29" w16cex:dateUtc="2022-05-03T09:06:00Z"/>
  <w16cex:commentExtensible w16cex:durableId="261B8AF6" w16cex:dateUtc="2022-05-03T09:05:00Z"/>
  <w16cex:commentExtensible w16cex:durableId="261B8AFC" w16cex:dateUtc="2022-05-03T09:05:00Z"/>
  <w16cex:commentExtensible w16cex:durableId="261B8BB4" w16cex:dateUtc="2022-05-03T09:08:00Z"/>
  <w16cex:commentExtensible w16cex:durableId="261B8B68" w16cex:dateUtc="2022-05-03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F67A" w14:textId="77777777" w:rsidR="00294C4D" w:rsidRDefault="00294C4D" w:rsidP="009743A4">
      <w:pPr>
        <w:spacing w:line="240" w:lineRule="auto"/>
      </w:pPr>
      <w:r>
        <w:separator/>
      </w:r>
    </w:p>
  </w:endnote>
  <w:endnote w:type="continuationSeparator" w:id="0">
    <w:p w14:paraId="2C1F364F" w14:textId="77777777" w:rsidR="00294C4D" w:rsidRDefault="00294C4D" w:rsidP="0097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3CC7" w14:textId="77777777" w:rsidR="00294C4D" w:rsidRDefault="00294C4D" w:rsidP="009743A4">
      <w:pPr>
        <w:spacing w:line="240" w:lineRule="auto"/>
      </w:pPr>
      <w:r>
        <w:separator/>
      </w:r>
    </w:p>
  </w:footnote>
  <w:footnote w:type="continuationSeparator" w:id="0">
    <w:p w14:paraId="0695A34E" w14:textId="77777777" w:rsidR="00294C4D" w:rsidRDefault="00294C4D" w:rsidP="009743A4">
      <w:pPr>
        <w:spacing w:line="240" w:lineRule="auto"/>
      </w:pPr>
      <w:r>
        <w:continuationSeparator/>
      </w:r>
    </w:p>
  </w:footnote>
  <w:footnote w:id="1">
    <w:p w14:paraId="12616452" w14:textId="5A274E5A" w:rsidR="009743A4" w:rsidRDefault="009743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F94"/>
    <w:multiLevelType w:val="hybridMultilevel"/>
    <w:tmpl w:val="C516972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BB4"/>
    <w:multiLevelType w:val="hybridMultilevel"/>
    <w:tmpl w:val="403462B6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12379"/>
    <w:multiLevelType w:val="hybridMultilevel"/>
    <w:tmpl w:val="10FCE1CA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jA1MjYwMTG3NDRX0lEKTi0uzszPAykwqQUAHOxtZCwAAAA="/>
  </w:docVars>
  <w:rsids>
    <w:rsidRoot w:val="00E30BEE"/>
    <w:rsid w:val="00002BA8"/>
    <w:rsid w:val="00083F7B"/>
    <w:rsid w:val="00091A27"/>
    <w:rsid w:val="001813AC"/>
    <w:rsid w:val="00187B99"/>
    <w:rsid w:val="00195C3F"/>
    <w:rsid w:val="001A728C"/>
    <w:rsid w:val="001E402A"/>
    <w:rsid w:val="002014DD"/>
    <w:rsid w:val="0027661A"/>
    <w:rsid w:val="00294C4D"/>
    <w:rsid w:val="002D5E17"/>
    <w:rsid w:val="00354424"/>
    <w:rsid w:val="003A6ACB"/>
    <w:rsid w:val="003B45AA"/>
    <w:rsid w:val="003C0E13"/>
    <w:rsid w:val="00411D58"/>
    <w:rsid w:val="00422CAA"/>
    <w:rsid w:val="004D1217"/>
    <w:rsid w:val="004D4FE2"/>
    <w:rsid w:val="004D6008"/>
    <w:rsid w:val="00580F66"/>
    <w:rsid w:val="005843D2"/>
    <w:rsid w:val="005A1240"/>
    <w:rsid w:val="005B12CC"/>
    <w:rsid w:val="005C7C7A"/>
    <w:rsid w:val="00604311"/>
    <w:rsid w:val="00640794"/>
    <w:rsid w:val="006853D6"/>
    <w:rsid w:val="00693226"/>
    <w:rsid w:val="006F1772"/>
    <w:rsid w:val="00717B20"/>
    <w:rsid w:val="007466AB"/>
    <w:rsid w:val="007663A2"/>
    <w:rsid w:val="007C7674"/>
    <w:rsid w:val="007E2B78"/>
    <w:rsid w:val="00865643"/>
    <w:rsid w:val="008942E7"/>
    <w:rsid w:val="008A1204"/>
    <w:rsid w:val="008B506A"/>
    <w:rsid w:val="008E0F0B"/>
    <w:rsid w:val="00900CCA"/>
    <w:rsid w:val="00901CFE"/>
    <w:rsid w:val="00924B77"/>
    <w:rsid w:val="00940DA2"/>
    <w:rsid w:val="009743A4"/>
    <w:rsid w:val="00994F34"/>
    <w:rsid w:val="00997C09"/>
    <w:rsid w:val="009D0BCF"/>
    <w:rsid w:val="009E055C"/>
    <w:rsid w:val="00A4289B"/>
    <w:rsid w:val="00A74F6F"/>
    <w:rsid w:val="00A961B3"/>
    <w:rsid w:val="00AD2513"/>
    <w:rsid w:val="00AD7557"/>
    <w:rsid w:val="00B01F07"/>
    <w:rsid w:val="00B242D6"/>
    <w:rsid w:val="00B50C5D"/>
    <w:rsid w:val="00B51253"/>
    <w:rsid w:val="00B525CC"/>
    <w:rsid w:val="00BC342E"/>
    <w:rsid w:val="00BF7651"/>
    <w:rsid w:val="00D204C1"/>
    <w:rsid w:val="00D21025"/>
    <w:rsid w:val="00D404F2"/>
    <w:rsid w:val="00D504EC"/>
    <w:rsid w:val="00D83D0A"/>
    <w:rsid w:val="00D84969"/>
    <w:rsid w:val="00D960F9"/>
    <w:rsid w:val="00E21DBF"/>
    <w:rsid w:val="00E30BEE"/>
    <w:rsid w:val="00E607E6"/>
    <w:rsid w:val="00EC50AA"/>
    <w:rsid w:val="00EE2335"/>
    <w:rsid w:val="00F33BF7"/>
    <w:rsid w:val="00F83BD7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BD756"/>
  <w15:docId w15:val="{CD8607E1-D207-4A6E-AC7D-7CFE17D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342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C342E"/>
    <w:pPr>
      <w:ind w:left="720"/>
      <w:contextualSpacing/>
    </w:pPr>
  </w:style>
  <w:style w:type="character" w:styleId="Collegamentoipertestuale">
    <w:name w:val="Hyperlink"/>
    <w:basedOn w:val="Carpredefinitoparagrafo"/>
    <w:rsid w:val="00BF765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B242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42D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242D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42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42D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242D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2D6"/>
    <w:rPr>
      <w:sz w:val="18"/>
      <w:szCs w:val="18"/>
    </w:rPr>
  </w:style>
  <w:style w:type="paragraph" w:styleId="NormaleWeb">
    <w:name w:val="Normal (Web)"/>
    <w:basedOn w:val="Normale"/>
    <w:uiPriority w:val="99"/>
    <w:unhideWhenUsed/>
    <w:rsid w:val="00B242D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43D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743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43A4"/>
  </w:style>
  <w:style w:type="character" w:styleId="Rimandonotaapidipagina">
    <w:name w:val="footnote reference"/>
    <w:basedOn w:val="Carpredefinitoparagrafo"/>
    <w:rsid w:val="0097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02902/patrizia-catellani/didattic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ntina.carfora@unicatt.it" TargetMode="Externa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F77F-6478-44D1-B5CA-C47F83DF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1010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2022-05-05T08:57:00Z</dcterms:created>
  <dcterms:modified xsi:type="dcterms:W3CDTF">2022-05-05T08:57:00Z</dcterms:modified>
</cp:coreProperties>
</file>