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FEDFD" w14:textId="6E9FB7D0" w:rsidR="0067282A" w:rsidRPr="00605229" w:rsidRDefault="0067282A" w:rsidP="0067282A">
      <w:pPr>
        <w:pStyle w:val="Titolo1"/>
        <w:rPr>
          <w:rFonts w:eastAsia="NanumGothic"/>
        </w:rPr>
      </w:pPr>
      <w:r w:rsidRPr="00605229">
        <w:rPr>
          <w:rFonts w:eastAsia="NanumGothic"/>
        </w:rPr>
        <w:t>Psicologia dell’assessment e dello sviluppo nelle organizzazioni</w:t>
      </w:r>
    </w:p>
    <w:p w14:paraId="1229D483" w14:textId="77777777" w:rsidR="0067282A" w:rsidRPr="00605229" w:rsidRDefault="0067282A" w:rsidP="0067282A">
      <w:pPr>
        <w:pStyle w:val="Titolo2"/>
        <w:rPr>
          <w:rFonts w:eastAsia="NanumGothic"/>
        </w:rPr>
      </w:pPr>
      <w:r w:rsidRPr="00605229">
        <w:rPr>
          <w:rFonts w:eastAsia="NanumGothic"/>
        </w:rPr>
        <w:t>Prof. Franco Iacometti; Prof. Fabio Cecchinato</w:t>
      </w:r>
    </w:p>
    <w:p w14:paraId="69CA51A5" w14:textId="77777777" w:rsidR="0071622F" w:rsidRDefault="0071622F" w:rsidP="0071622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0F07E36" w14:textId="77777777" w:rsidR="003B150B" w:rsidRPr="00120C52" w:rsidRDefault="003B150B" w:rsidP="003B150B">
      <w:pPr>
        <w:spacing w:line="240" w:lineRule="exact"/>
        <w:rPr>
          <w:rFonts w:eastAsia="NanumGothic"/>
          <w:sz w:val="20"/>
          <w:szCs w:val="24"/>
        </w:rPr>
      </w:pPr>
      <w:r w:rsidRPr="00120C52">
        <w:rPr>
          <w:rFonts w:eastAsia="NanumGothic"/>
          <w:sz w:val="20"/>
          <w:szCs w:val="24"/>
        </w:rPr>
        <w:t>Scopo dell’insegnamento è che gli studenti acquisiscano le principali competenze che</w:t>
      </w:r>
      <w:r>
        <w:rPr>
          <w:rFonts w:eastAsia="NanumGothic"/>
          <w:sz w:val="20"/>
          <w:szCs w:val="24"/>
        </w:rPr>
        <w:t xml:space="preserve"> </w:t>
      </w:r>
      <w:r w:rsidRPr="00120C52">
        <w:rPr>
          <w:rFonts w:eastAsia="NanumGothic"/>
          <w:sz w:val="20"/>
          <w:szCs w:val="24"/>
        </w:rPr>
        <w:t>permettono allo psicologo delle risorse umane di utilizzare strumenti atti a valutare, diagnosticare, orientare e implementare interventi professionali nell’ambito della psicologia applicata all’individuo, al gruppo e all’organizzazione.</w:t>
      </w:r>
    </w:p>
    <w:p w14:paraId="25267F30" w14:textId="77777777" w:rsidR="003B150B" w:rsidRPr="00120C52" w:rsidRDefault="003B150B" w:rsidP="003B150B">
      <w:pPr>
        <w:spacing w:line="240" w:lineRule="exact"/>
        <w:rPr>
          <w:rFonts w:eastAsia="NanumGothic"/>
          <w:sz w:val="20"/>
          <w:szCs w:val="24"/>
        </w:rPr>
      </w:pPr>
      <w:r w:rsidRPr="00120C52">
        <w:rPr>
          <w:rFonts w:eastAsia="NanumGothic"/>
          <w:sz w:val="20"/>
          <w:szCs w:val="24"/>
        </w:rPr>
        <w:t xml:space="preserve">L’insegnamento si propone inoltre di stimolare una riflessione costruttiva sul futuro professionale che include preferenze e scelte di carriera nel ruolo di psicologo delle risorse umane, consulente e/o specialista in risorse umane che contribuisce e guida l’interazione individuo-organizzazione. </w:t>
      </w:r>
    </w:p>
    <w:p w14:paraId="50EA164D" w14:textId="77777777" w:rsidR="003B150B" w:rsidRPr="00120C52" w:rsidRDefault="003B150B" w:rsidP="003B150B">
      <w:pPr>
        <w:spacing w:before="120" w:line="240" w:lineRule="exact"/>
        <w:rPr>
          <w:rFonts w:eastAsia="NanumGothic"/>
          <w:i/>
          <w:sz w:val="20"/>
          <w:szCs w:val="24"/>
        </w:rPr>
      </w:pPr>
      <w:r w:rsidRPr="00120C52">
        <w:rPr>
          <w:rFonts w:eastAsia="NanumGothic"/>
          <w:i/>
          <w:sz w:val="20"/>
          <w:szCs w:val="24"/>
        </w:rPr>
        <w:t>Conoscenza e comprensione</w:t>
      </w:r>
    </w:p>
    <w:p w14:paraId="3F66605A" w14:textId="77777777" w:rsidR="003B150B" w:rsidRPr="00120C52" w:rsidRDefault="003B150B" w:rsidP="003B150B">
      <w:pPr>
        <w:spacing w:line="240" w:lineRule="exact"/>
        <w:rPr>
          <w:rFonts w:eastAsia="NanumGothic"/>
          <w:sz w:val="20"/>
          <w:szCs w:val="24"/>
        </w:rPr>
      </w:pPr>
      <w:r w:rsidRPr="00120C52">
        <w:rPr>
          <w:rFonts w:eastAsia="NanumGothic"/>
          <w:sz w:val="20"/>
          <w:szCs w:val="24"/>
        </w:rPr>
        <w:t>Al termine dell’insegnamento gli studenti saranno in grado di:</w:t>
      </w:r>
    </w:p>
    <w:p w14:paraId="558B2CB8" w14:textId="77777777" w:rsidR="003B150B" w:rsidRPr="00120C52" w:rsidRDefault="003B150B" w:rsidP="003B150B">
      <w:pPr>
        <w:pStyle w:val="Paragrafoelenco"/>
        <w:numPr>
          <w:ilvl w:val="0"/>
          <w:numId w:val="7"/>
        </w:numPr>
        <w:spacing w:line="240" w:lineRule="exact"/>
        <w:ind w:left="284" w:hanging="284"/>
        <w:jc w:val="both"/>
        <w:rPr>
          <w:rFonts w:eastAsia="NanumGothic"/>
          <w:sz w:val="20"/>
        </w:rPr>
      </w:pPr>
      <w:r w:rsidRPr="00120C52">
        <w:rPr>
          <w:rFonts w:eastAsia="NanumGothic"/>
          <w:sz w:val="20"/>
        </w:rPr>
        <w:t xml:space="preserve">Conoscere i principali stili di leadership e i relativi strumenti disponibili per il suo sviluppo. </w:t>
      </w:r>
    </w:p>
    <w:p w14:paraId="573F6862" w14:textId="77777777" w:rsidR="003B150B" w:rsidRPr="00120C52" w:rsidRDefault="003B150B" w:rsidP="003B150B">
      <w:pPr>
        <w:pStyle w:val="Paragrafoelenco"/>
        <w:numPr>
          <w:ilvl w:val="0"/>
          <w:numId w:val="7"/>
        </w:numPr>
        <w:spacing w:line="240" w:lineRule="exact"/>
        <w:ind w:left="284" w:hanging="284"/>
        <w:jc w:val="both"/>
        <w:rPr>
          <w:rFonts w:eastAsia="NanumGothic"/>
          <w:sz w:val="20"/>
        </w:rPr>
      </w:pPr>
      <w:r w:rsidRPr="00120C52">
        <w:rPr>
          <w:rFonts w:eastAsia="NanumGothic"/>
          <w:sz w:val="20"/>
        </w:rPr>
        <w:t xml:space="preserve">Comprendere gli aspetti psicologici connessi ad iniziative di cambiamento organizzativo. </w:t>
      </w:r>
    </w:p>
    <w:p w14:paraId="369453C4" w14:textId="77777777" w:rsidR="003B150B" w:rsidRPr="00120C52" w:rsidRDefault="003B150B" w:rsidP="003B150B">
      <w:pPr>
        <w:pStyle w:val="Paragrafoelenco"/>
        <w:numPr>
          <w:ilvl w:val="0"/>
          <w:numId w:val="7"/>
        </w:numPr>
        <w:spacing w:line="240" w:lineRule="exact"/>
        <w:ind w:left="284" w:hanging="284"/>
        <w:jc w:val="both"/>
        <w:rPr>
          <w:rFonts w:eastAsia="NanumGothic"/>
          <w:sz w:val="20"/>
        </w:rPr>
      </w:pPr>
      <w:r w:rsidRPr="00120C52">
        <w:rPr>
          <w:rFonts w:eastAsia="NanumGothic"/>
          <w:sz w:val="20"/>
        </w:rPr>
        <w:t xml:space="preserve">Leggere e interpretare il funzionamento delle principali dinamiche relazionali in contesti sociali e organizzativi. </w:t>
      </w:r>
    </w:p>
    <w:p w14:paraId="735E49B6" w14:textId="77777777" w:rsidR="003B150B" w:rsidRPr="00120C52" w:rsidRDefault="003B150B" w:rsidP="003B150B">
      <w:pPr>
        <w:pStyle w:val="Paragrafoelenco"/>
        <w:numPr>
          <w:ilvl w:val="0"/>
          <w:numId w:val="7"/>
        </w:numPr>
        <w:spacing w:line="240" w:lineRule="exact"/>
        <w:ind w:left="284" w:hanging="284"/>
        <w:jc w:val="both"/>
        <w:rPr>
          <w:rFonts w:eastAsia="NanumGothic"/>
          <w:sz w:val="20"/>
        </w:rPr>
      </w:pPr>
      <w:r w:rsidRPr="00120C52">
        <w:rPr>
          <w:rFonts w:eastAsia="NanumGothic"/>
          <w:sz w:val="20"/>
        </w:rPr>
        <w:t>Comprendere e distinguere i diversi approcci, metodi e sistemi della valutazione del</w:t>
      </w:r>
      <w:r>
        <w:rPr>
          <w:rFonts w:eastAsia="NanumGothic"/>
          <w:sz w:val="20"/>
        </w:rPr>
        <w:t>la performance e del potenziale.</w:t>
      </w:r>
    </w:p>
    <w:p w14:paraId="033EBE36" w14:textId="77777777" w:rsidR="003B150B" w:rsidRPr="00120C52" w:rsidRDefault="003B150B" w:rsidP="003B150B">
      <w:pPr>
        <w:pStyle w:val="Paragrafoelenco"/>
        <w:numPr>
          <w:ilvl w:val="0"/>
          <w:numId w:val="7"/>
        </w:numPr>
        <w:spacing w:line="240" w:lineRule="exact"/>
        <w:ind w:left="284" w:hanging="284"/>
        <w:jc w:val="both"/>
        <w:rPr>
          <w:rFonts w:eastAsia="NanumGothic"/>
          <w:sz w:val="20"/>
        </w:rPr>
      </w:pPr>
      <w:r w:rsidRPr="00120C52">
        <w:rPr>
          <w:rFonts w:eastAsia="NanumGothic"/>
          <w:sz w:val="20"/>
        </w:rPr>
        <w:t>Analizzare attraverso categorie critiche e riflessive i dispositivi di gestione delle risorse umane, la loro progettazione e il loro utilizzo</w:t>
      </w:r>
      <w:r>
        <w:rPr>
          <w:rFonts w:eastAsia="NanumGothic"/>
          <w:sz w:val="20"/>
        </w:rPr>
        <w:t>.</w:t>
      </w:r>
    </w:p>
    <w:p w14:paraId="1913D118" w14:textId="77777777" w:rsidR="003B150B" w:rsidRPr="00120C52" w:rsidRDefault="003B150B" w:rsidP="003B150B">
      <w:pPr>
        <w:pStyle w:val="Paragrafoelenco"/>
        <w:numPr>
          <w:ilvl w:val="0"/>
          <w:numId w:val="7"/>
        </w:numPr>
        <w:spacing w:line="240" w:lineRule="exact"/>
        <w:ind w:left="284" w:hanging="284"/>
        <w:jc w:val="both"/>
        <w:rPr>
          <w:rFonts w:eastAsia="NanumGothic"/>
          <w:sz w:val="20"/>
        </w:rPr>
      </w:pPr>
      <w:r w:rsidRPr="00120C52">
        <w:rPr>
          <w:rFonts w:eastAsia="NanumGothic"/>
          <w:sz w:val="20"/>
        </w:rPr>
        <w:t>Comprendere la pratica del coaching dal punto di vista metodologico e delle sue implicazioni psicologiche e culturali</w:t>
      </w:r>
      <w:r>
        <w:rPr>
          <w:rFonts w:eastAsia="NanumGothic"/>
          <w:sz w:val="20"/>
        </w:rPr>
        <w:t>.</w:t>
      </w:r>
    </w:p>
    <w:p w14:paraId="28495765" w14:textId="77777777" w:rsidR="003B150B" w:rsidRPr="00120C52" w:rsidRDefault="003B150B" w:rsidP="003B150B">
      <w:pPr>
        <w:spacing w:before="120" w:line="240" w:lineRule="exact"/>
        <w:rPr>
          <w:rFonts w:eastAsia="NanumGothic"/>
          <w:i/>
          <w:sz w:val="20"/>
          <w:szCs w:val="24"/>
        </w:rPr>
      </w:pPr>
      <w:r w:rsidRPr="00120C52">
        <w:rPr>
          <w:rFonts w:eastAsia="NanumGothic"/>
          <w:i/>
          <w:sz w:val="20"/>
          <w:szCs w:val="24"/>
        </w:rPr>
        <w:t>Capacità di applicare conoscenza e comprensione</w:t>
      </w:r>
    </w:p>
    <w:p w14:paraId="20AA87B9" w14:textId="77777777" w:rsidR="003B150B" w:rsidRPr="00120C52" w:rsidRDefault="003B150B" w:rsidP="003B150B">
      <w:pPr>
        <w:pStyle w:val="Paragrafoelenco"/>
        <w:numPr>
          <w:ilvl w:val="0"/>
          <w:numId w:val="7"/>
        </w:numPr>
        <w:spacing w:line="240" w:lineRule="exact"/>
        <w:ind w:left="284" w:hanging="284"/>
        <w:jc w:val="both"/>
        <w:rPr>
          <w:rFonts w:eastAsia="NanumGothic"/>
          <w:sz w:val="20"/>
        </w:rPr>
      </w:pPr>
      <w:r w:rsidRPr="00120C52">
        <w:rPr>
          <w:rFonts w:eastAsia="NanumGothic"/>
          <w:sz w:val="20"/>
        </w:rPr>
        <w:t xml:space="preserve">Al termine dell’insegnamento gli studenti saranno in grado di: </w:t>
      </w:r>
    </w:p>
    <w:p w14:paraId="4925895E" w14:textId="77777777" w:rsidR="003B150B" w:rsidRPr="00120C52" w:rsidRDefault="003B150B" w:rsidP="003B150B">
      <w:pPr>
        <w:pStyle w:val="Paragrafoelenco"/>
        <w:numPr>
          <w:ilvl w:val="0"/>
          <w:numId w:val="7"/>
        </w:numPr>
        <w:spacing w:line="240" w:lineRule="exact"/>
        <w:ind w:left="284" w:hanging="284"/>
        <w:jc w:val="both"/>
        <w:rPr>
          <w:rFonts w:eastAsia="NanumGothic"/>
          <w:sz w:val="20"/>
        </w:rPr>
      </w:pPr>
      <w:r w:rsidRPr="00120C52">
        <w:rPr>
          <w:rFonts w:eastAsia="NanumGothic"/>
          <w:sz w:val="20"/>
        </w:rPr>
        <w:t xml:space="preserve">Scegliere metodi, tecniche e strumenti più adatti in funzione degli obiettivi di miglioramento attesi per lo sviluppo del capitale umano in contesti </w:t>
      </w:r>
      <w:r>
        <w:rPr>
          <w:rFonts w:eastAsia="NanumGothic"/>
          <w:sz w:val="20"/>
        </w:rPr>
        <w:t>o</w:t>
      </w:r>
      <w:r w:rsidRPr="00120C52">
        <w:rPr>
          <w:rFonts w:eastAsia="NanumGothic"/>
          <w:sz w:val="20"/>
        </w:rPr>
        <w:t>rganizzativi comp</w:t>
      </w:r>
      <w:r>
        <w:rPr>
          <w:rFonts w:eastAsia="NanumGothic"/>
          <w:sz w:val="20"/>
        </w:rPr>
        <w:t>lessi.</w:t>
      </w:r>
    </w:p>
    <w:p w14:paraId="4013A7BA" w14:textId="77777777" w:rsidR="003B150B" w:rsidRPr="00120C52" w:rsidRDefault="003B150B" w:rsidP="003B150B">
      <w:pPr>
        <w:pStyle w:val="Paragrafoelenco"/>
        <w:numPr>
          <w:ilvl w:val="0"/>
          <w:numId w:val="7"/>
        </w:numPr>
        <w:spacing w:line="240" w:lineRule="exact"/>
        <w:ind w:left="284" w:hanging="284"/>
        <w:jc w:val="both"/>
        <w:rPr>
          <w:rFonts w:eastAsia="NanumGothic"/>
          <w:sz w:val="20"/>
        </w:rPr>
      </w:pPr>
      <w:r w:rsidRPr="00120C52">
        <w:rPr>
          <w:rFonts w:eastAsia="NanumGothic"/>
          <w:sz w:val="20"/>
        </w:rPr>
        <w:t>Progettare processi e sistemi di valutazione della performance</w:t>
      </w:r>
      <w:r>
        <w:rPr>
          <w:rFonts w:eastAsia="NanumGothic"/>
          <w:sz w:val="20"/>
        </w:rPr>
        <w:t>.</w:t>
      </w:r>
    </w:p>
    <w:p w14:paraId="4D165679" w14:textId="77777777" w:rsidR="003B150B" w:rsidRPr="00120C52" w:rsidRDefault="003B150B" w:rsidP="003B150B">
      <w:pPr>
        <w:pStyle w:val="Paragrafoelenco"/>
        <w:numPr>
          <w:ilvl w:val="0"/>
          <w:numId w:val="7"/>
        </w:numPr>
        <w:spacing w:line="240" w:lineRule="exact"/>
        <w:ind w:left="284" w:hanging="284"/>
        <w:jc w:val="both"/>
        <w:rPr>
          <w:rFonts w:eastAsia="NanumGothic"/>
          <w:sz w:val="20"/>
        </w:rPr>
      </w:pPr>
      <w:r w:rsidRPr="00120C52">
        <w:rPr>
          <w:rFonts w:eastAsia="NanumGothic"/>
          <w:sz w:val="20"/>
        </w:rPr>
        <w:t>Progettare soluzioni per la valutazione del potenziale</w:t>
      </w:r>
      <w:r>
        <w:rPr>
          <w:rFonts w:eastAsia="NanumGothic"/>
          <w:sz w:val="20"/>
        </w:rPr>
        <w:t>.</w:t>
      </w:r>
    </w:p>
    <w:p w14:paraId="6D0039DE" w14:textId="77777777" w:rsidR="003B150B" w:rsidRPr="00120C52" w:rsidRDefault="003B150B" w:rsidP="003B150B">
      <w:pPr>
        <w:pStyle w:val="Paragrafoelenco"/>
        <w:numPr>
          <w:ilvl w:val="0"/>
          <w:numId w:val="7"/>
        </w:numPr>
        <w:spacing w:line="240" w:lineRule="exact"/>
        <w:ind w:left="284" w:hanging="284"/>
        <w:jc w:val="both"/>
        <w:rPr>
          <w:rFonts w:eastAsia="NanumGothic"/>
          <w:sz w:val="20"/>
        </w:rPr>
      </w:pPr>
      <w:r w:rsidRPr="00120C52">
        <w:rPr>
          <w:rFonts w:eastAsia="NanumGothic"/>
          <w:sz w:val="20"/>
        </w:rPr>
        <w:t>Progettare e co-condurre sessioni di Assessment e Development Center</w:t>
      </w:r>
      <w:r>
        <w:rPr>
          <w:rFonts w:eastAsia="NanumGothic"/>
          <w:sz w:val="20"/>
        </w:rPr>
        <w:t>.</w:t>
      </w:r>
    </w:p>
    <w:p w14:paraId="3CB8F8A7" w14:textId="77777777" w:rsidR="003B150B" w:rsidRPr="00120C52" w:rsidRDefault="003B150B" w:rsidP="003B150B">
      <w:pPr>
        <w:pStyle w:val="Paragrafoelenco"/>
        <w:numPr>
          <w:ilvl w:val="0"/>
          <w:numId w:val="7"/>
        </w:numPr>
        <w:spacing w:line="240" w:lineRule="exact"/>
        <w:ind w:left="284" w:hanging="284"/>
        <w:jc w:val="both"/>
        <w:rPr>
          <w:rFonts w:eastAsia="NanumGothic"/>
          <w:sz w:val="20"/>
        </w:rPr>
      </w:pPr>
      <w:r w:rsidRPr="00120C52">
        <w:rPr>
          <w:rFonts w:eastAsia="NanumGothic"/>
          <w:sz w:val="20"/>
        </w:rPr>
        <w:t>Valutare e condurre una conversazione di coaching</w:t>
      </w:r>
      <w:r>
        <w:rPr>
          <w:rFonts w:eastAsia="NanumGothic"/>
          <w:sz w:val="20"/>
        </w:rPr>
        <w:t>.</w:t>
      </w:r>
    </w:p>
    <w:p w14:paraId="394D1A62" w14:textId="77777777" w:rsidR="0071622F" w:rsidRDefault="0071622F" w:rsidP="0071622F">
      <w:pPr>
        <w:spacing w:before="240" w:after="120" w:line="240" w:lineRule="exact"/>
        <w:rPr>
          <w:rFonts w:eastAsia="NanumGothic"/>
          <w:b/>
          <w:sz w:val="18"/>
        </w:rPr>
      </w:pPr>
      <w:r>
        <w:rPr>
          <w:rFonts w:eastAsia="NanumGothic"/>
          <w:b/>
          <w:i/>
          <w:sz w:val="18"/>
        </w:rPr>
        <w:t>PROGRAMMA DEL CORSO</w:t>
      </w:r>
    </w:p>
    <w:p w14:paraId="2D47F94F" w14:textId="77777777" w:rsidR="003B150B" w:rsidRDefault="003B150B" w:rsidP="003B150B">
      <w:pPr>
        <w:spacing w:line="240" w:lineRule="exact"/>
        <w:rPr>
          <w:rFonts w:eastAsia="NanumGothic"/>
          <w:sz w:val="20"/>
        </w:rPr>
      </w:pPr>
      <w:r w:rsidRPr="00120C52">
        <w:rPr>
          <w:rFonts w:eastAsia="NanumGothic"/>
          <w:sz w:val="20"/>
        </w:rPr>
        <w:lastRenderedPageBreak/>
        <w:t>Il corso si articola in due moduli sviluppati in parallelo e integrati tra loro per un totale di 60 ore e 8 crediti.</w:t>
      </w:r>
    </w:p>
    <w:p w14:paraId="10B9DD0A" w14:textId="77777777" w:rsidR="003B150B" w:rsidRPr="007C0829" w:rsidRDefault="003B150B" w:rsidP="003B150B">
      <w:pPr>
        <w:spacing w:line="240" w:lineRule="exact"/>
        <w:rPr>
          <w:rFonts w:eastAsia="NanumGothic"/>
          <w:i/>
          <w:iCs/>
          <w:smallCaps/>
          <w:sz w:val="20"/>
        </w:rPr>
      </w:pPr>
      <w:r w:rsidRPr="007C0829">
        <w:rPr>
          <w:rFonts w:eastAsia="NanumGothic"/>
          <w:smallCaps/>
          <w:sz w:val="18"/>
          <w:szCs w:val="21"/>
        </w:rPr>
        <w:t>Primo Modulo</w:t>
      </w:r>
      <w:r>
        <w:rPr>
          <w:rFonts w:eastAsia="NanumGothic"/>
          <w:smallCaps/>
          <w:sz w:val="18"/>
          <w:szCs w:val="21"/>
        </w:rPr>
        <w:t xml:space="preserve">. </w:t>
      </w:r>
      <w:r w:rsidRPr="007C0829">
        <w:rPr>
          <w:rFonts w:eastAsia="NanumGothic"/>
          <w:i/>
          <w:iCs/>
          <w:sz w:val="20"/>
        </w:rPr>
        <w:t>Prof</w:t>
      </w:r>
      <w:r>
        <w:rPr>
          <w:rFonts w:eastAsia="NanumGothic"/>
          <w:i/>
          <w:iCs/>
          <w:sz w:val="20"/>
        </w:rPr>
        <w:t xml:space="preserve">. Franco Iacometti </w:t>
      </w:r>
      <w:r>
        <w:rPr>
          <w:rFonts w:eastAsia="NanumGothic"/>
          <w:sz w:val="20"/>
        </w:rPr>
        <w:t>(30 ore)</w:t>
      </w:r>
      <w:r>
        <w:rPr>
          <w:rFonts w:eastAsia="NanumGothic"/>
          <w:i/>
          <w:iCs/>
          <w:smallCaps/>
          <w:sz w:val="20"/>
        </w:rPr>
        <w:t xml:space="preserve"> </w:t>
      </w:r>
    </w:p>
    <w:p w14:paraId="4561719E" w14:textId="7E2A9BC7" w:rsidR="003B150B" w:rsidRDefault="003B150B" w:rsidP="003B150B">
      <w:pPr>
        <w:spacing w:line="240" w:lineRule="exact"/>
        <w:rPr>
          <w:rFonts w:eastAsia="NanumGothic"/>
          <w:sz w:val="20"/>
        </w:rPr>
      </w:pPr>
      <w:r w:rsidRPr="00120C52">
        <w:rPr>
          <w:rFonts w:eastAsia="NanumGothic"/>
          <w:sz w:val="20"/>
        </w:rPr>
        <w:t>Si propone di considerare le influenze delle dinamiche sociali che l’individuo incontra entrando in contatto con gruppi e organizzazioni. Vengono presentati modelli teorici e di ricerca sull’analisi dell’efficacia del comportamento individuale nel contesto organizzativo attraverso “focus” sulla personalità, stili di lavoro, attitudini, motivazione, potere, autorità, leadership, cultura organizzativa nazionale e cross-culturale e il ruolo del fi</w:t>
      </w:r>
      <w:r>
        <w:rPr>
          <w:rFonts w:eastAsia="NanumGothic"/>
          <w:sz w:val="20"/>
        </w:rPr>
        <w:t xml:space="preserve">t tra i valori </w:t>
      </w:r>
      <w:r w:rsidRPr="00120C52">
        <w:rPr>
          <w:rFonts w:eastAsia="NanumGothic"/>
          <w:sz w:val="20"/>
        </w:rPr>
        <w:t xml:space="preserve">personali e quelli professionali e culturali nella scelta dell’occupazione e crescita di carriera. </w:t>
      </w:r>
    </w:p>
    <w:p w14:paraId="43A70CE4" w14:textId="6992A8C7" w:rsidR="00792B49" w:rsidRDefault="00792B49" w:rsidP="003B150B">
      <w:pPr>
        <w:spacing w:line="240" w:lineRule="exact"/>
        <w:rPr>
          <w:rFonts w:eastAsia="NanumGothic"/>
          <w:b/>
          <w:bCs/>
          <w:sz w:val="20"/>
        </w:rPr>
      </w:pPr>
      <w:r w:rsidRPr="00792B49">
        <w:rPr>
          <w:rFonts w:eastAsia="NanumGothic"/>
          <w:b/>
          <w:bCs/>
          <w:sz w:val="20"/>
        </w:rPr>
        <w:t>Unità 1</w:t>
      </w:r>
    </w:p>
    <w:p w14:paraId="3A61D134" w14:textId="0126553D" w:rsidR="00792B49" w:rsidRDefault="00792B49" w:rsidP="003B150B">
      <w:pPr>
        <w:spacing w:line="240" w:lineRule="exact"/>
        <w:rPr>
          <w:rFonts w:eastAsia="NanumGothic"/>
          <w:sz w:val="20"/>
        </w:rPr>
      </w:pPr>
      <w:r>
        <w:rPr>
          <w:rFonts w:eastAsia="NanumGothic"/>
          <w:sz w:val="20"/>
        </w:rPr>
        <w:t>Presentazione del corso: struttura, contenuti e modalità didattiche</w:t>
      </w:r>
    </w:p>
    <w:p w14:paraId="36A0C78C" w14:textId="5230E456" w:rsidR="00792B49" w:rsidRDefault="00792B49" w:rsidP="003B150B">
      <w:pPr>
        <w:spacing w:line="240" w:lineRule="exact"/>
        <w:rPr>
          <w:rFonts w:eastAsia="NanumGothic"/>
          <w:b/>
          <w:bCs/>
          <w:sz w:val="20"/>
        </w:rPr>
      </w:pPr>
      <w:r w:rsidRPr="00792B49">
        <w:rPr>
          <w:rFonts w:eastAsia="NanumGothic"/>
          <w:b/>
          <w:bCs/>
          <w:sz w:val="20"/>
        </w:rPr>
        <w:t>Unità 2</w:t>
      </w:r>
    </w:p>
    <w:p w14:paraId="38B4902F" w14:textId="521869B2" w:rsidR="00792B49" w:rsidRDefault="00433BE7" w:rsidP="003B150B">
      <w:pPr>
        <w:spacing w:line="240" w:lineRule="exact"/>
        <w:rPr>
          <w:rFonts w:eastAsia="NanumGothic"/>
          <w:sz w:val="20"/>
        </w:rPr>
      </w:pPr>
      <w:r>
        <w:rPr>
          <w:rFonts w:eastAsia="NanumGothic"/>
          <w:sz w:val="20"/>
        </w:rPr>
        <w:t>Leadership: dalle teorie dei tratti alle teorie della contingency</w:t>
      </w:r>
    </w:p>
    <w:p w14:paraId="0D9BA1D7" w14:textId="54484D0A" w:rsidR="00433BE7" w:rsidRDefault="00433BE7" w:rsidP="003B150B">
      <w:pPr>
        <w:spacing w:line="240" w:lineRule="exact"/>
        <w:rPr>
          <w:rFonts w:eastAsia="NanumGothic"/>
          <w:b/>
          <w:bCs/>
          <w:sz w:val="20"/>
        </w:rPr>
      </w:pPr>
      <w:r w:rsidRPr="00433BE7">
        <w:rPr>
          <w:rFonts w:eastAsia="NanumGothic"/>
          <w:b/>
          <w:bCs/>
          <w:sz w:val="20"/>
        </w:rPr>
        <w:t>Unità 3</w:t>
      </w:r>
    </w:p>
    <w:p w14:paraId="74C05012" w14:textId="37E81C50" w:rsidR="00433BE7" w:rsidRDefault="00433BE7" w:rsidP="003B150B">
      <w:pPr>
        <w:spacing w:line="240" w:lineRule="exact"/>
        <w:rPr>
          <w:rFonts w:eastAsia="NanumGothic"/>
          <w:sz w:val="20"/>
        </w:rPr>
      </w:pPr>
      <w:r>
        <w:rPr>
          <w:rFonts w:eastAsia="NanumGothic"/>
          <w:sz w:val="20"/>
        </w:rPr>
        <w:t>Comportamento organizzativo e preferenze psicologiche: il modello MBTI</w:t>
      </w:r>
    </w:p>
    <w:p w14:paraId="5E92F8B6" w14:textId="53431E5C" w:rsidR="00433BE7" w:rsidRDefault="00433BE7" w:rsidP="003B150B">
      <w:pPr>
        <w:spacing w:line="240" w:lineRule="exact"/>
        <w:rPr>
          <w:rFonts w:eastAsia="NanumGothic"/>
          <w:b/>
          <w:bCs/>
          <w:sz w:val="20"/>
        </w:rPr>
      </w:pPr>
      <w:r w:rsidRPr="00433BE7">
        <w:rPr>
          <w:rFonts w:eastAsia="NanumGothic"/>
          <w:b/>
          <w:bCs/>
          <w:sz w:val="20"/>
        </w:rPr>
        <w:t>Unità 4</w:t>
      </w:r>
    </w:p>
    <w:p w14:paraId="50F0860A" w14:textId="46367C78" w:rsidR="00433BE7" w:rsidRDefault="00433BE7" w:rsidP="003B150B">
      <w:pPr>
        <w:spacing w:line="240" w:lineRule="exact"/>
        <w:rPr>
          <w:rFonts w:eastAsia="NanumGothic"/>
          <w:sz w:val="20"/>
        </w:rPr>
      </w:pPr>
      <w:r>
        <w:rPr>
          <w:rFonts w:eastAsia="NanumGothic"/>
          <w:sz w:val="20"/>
        </w:rPr>
        <w:t>Tipi psicologici e dinamiche organizzative</w:t>
      </w:r>
    </w:p>
    <w:p w14:paraId="3351D1A0" w14:textId="4E83EF73" w:rsidR="00433BE7" w:rsidRDefault="00433BE7" w:rsidP="003B150B">
      <w:pPr>
        <w:spacing w:line="240" w:lineRule="exact"/>
        <w:rPr>
          <w:rFonts w:eastAsia="NanumGothic"/>
          <w:b/>
          <w:bCs/>
          <w:sz w:val="20"/>
        </w:rPr>
      </w:pPr>
      <w:r w:rsidRPr="00433BE7">
        <w:rPr>
          <w:rFonts w:eastAsia="NanumGothic"/>
          <w:b/>
          <w:bCs/>
          <w:sz w:val="20"/>
        </w:rPr>
        <w:t>Unità 5</w:t>
      </w:r>
    </w:p>
    <w:p w14:paraId="3685F07C" w14:textId="1BD1CED7" w:rsidR="00433BE7" w:rsidRDefault="00433BE7" w:rsidP="003B150B">
      <w:pPr>
        <w:spacing w:line="240" w:lineRule="exact"/>
        <w:rPr>
          <w:rFonts w:eastAsia="NanumGothic"/>
          <w:sz w:val="20"/>
        </w:rPr>
      </w:pPr>
      <w:r>
        <w:rPr>
          <w:rFonts w:eastAsia="NanumGothic"/>
          <w:sz w:val="20"/>
        </w:rPr>
        <w:t>I fabbisogni relazionali individuali</w:t>
      </w:r>
    </w:p>
    <w:p w14:paraId="5AF8C6AD" w14:textId="584C4562" w:rsidR="00433BE7" w:rsidRDefault="00433BE7" w:rsidP="003B150B">
      <w:pPr>
        <w:spacing w:line="240" w:lineRule="exact"/>
        <w:rPr>
          <w:rFonts w:eastAsia="NanumGothic"/>
          <w:b/>
          <w:bCs/>
          <w:sz w:val="20"/>
        </w:rPr>
      </w:pPr>
      <w:r w:rsidRPr="00433BE7">
        <w:rPr>
          <w:rFonts w:eastAsia="NanumGothic"/>
          <w:b/>
          <w:bCs/>
          <w:sz w:val="20"/>
        </w:rPr>
        <w:t>Unità 6</w:t>
      </w:r>
    </w:p>
    <w:p w14:paraId="7F8DE5DA" w14:textId="36D028A9" w:rsidR="005425EB" w:rsidRDefault="005425EB" w:rsidP="003B150B">
      <w:pPr>
        <w:spacing w:line="240" w:lineRule="exact"/>
        <w:rPr>
          <w:rFonts w:eastAsia="NanumGothic"/>
          <w:sz w:val="20"/>
        </w:rPr>
      </w:pPr>
      <w:r>
        <w:rPr>
          <w:rFonts w:eastAsia="NanumGothic"/>
          <w:sz w:val="20"/>
        </w:rPr>
        <w:t>Strumenti di feedback: logiche di funzionamento e condizioni di utilizzo</w:t>
      </w:r>
    </w:p>
    <w:p w14:paraId="6AB49995" w14:textId="3133DB00" w:rsidR="005425EB" w:rsidRDefault="005425EB" w:rsidP="003B150B">
      <w:pPr>
        <w:spacing w:line="240" w:lineRule="exact"/>
        <w:rPr>
          <w:rFonts w:eastAsia="NanumGothic"/>
          <w:b/>
          <w:bCs/>
          <w:sz w:val="20"/>
        </w:rPr>
      </w:pPr>
      <w:r w:rsidRPr="005425EB">
        <w:rPr>
          <w:rFonts w:eastAsia="NanumGothic"/>
          <w:b/>
          <w:bCs/>
          <w:sz w:val="20"/>
        </w:rPr>
        <w:t>Unità 7</w:t>
      </w:r>
    </w:p>
    <w:p w14:paraId="2D656458" w14:textId="6FC63E1D" w:rsidR="005425EB" w:rsidRDefault="005425EB" w:rsidP="003B150B">
      <w:pPr>
        <w:spacing w:line="240" w:lineRule="exact"/>
        <w:rPr>
          <w:rFonts w:eastAsia="NanumGothic"/>
          <w:sz w:val="20"/>
        </w:rPr>
      </w:pPr>
      <w:r>
        <w:rPr>
          <w:rFonts w:eastAsia="NanumGothic"/>
          <w:sz w:val="20"/>
        </w:rPr>
        <w:t>Resilienza e gestione dello stress e nell’ambiente di lavoro</w:t>
      </w:r>
    </w:p>
    <w:p w14:paraId="2349D513" w14:textId="1573DF38" w:rsidR="005425EB" w:rsidRDefault="005425EB" w:rsidP="003B150B">
      <w:pPr>
        <w:spacing w:line="240" w:lineRule="exact"/>
        <w:rPr>
          <w:rFonts w:eastAsia="NanumGothic"/>
          <w:b/>
          <w:bCs/>
          <w:sz w:val="20"/>
        </w:rPr>
      </w:pPr>
      <w:r w:rsidRPr="005425EB">
        <w:rPr>
          <w:rFonts w:eastAsia="NanumGothic"/>
          <w:b/>
          <w:bCs/>
          <w:sz w:val="20"/>
        </w:rPr>
        <w:t>Unità 8</w:t>
      </w:r>
    </w:p>
    <w:p w14:paraId="1947283C" w14:textId="46C43CD6" w:rsidR="005425EB" w:rsidRDefault="005425EB" w:rsidP="003B150B">
      <w:pPr>
        <w:spacing w:line="240" w:lineRule="exact"/>
        <w:rPr>
          <w:rFonts w:eastAsia="NanumGothic"/>
          <w:sz w:val="20"/>
        </w:rPr>
      </w:pPr>
      <w:r>
        <w:rPr>
          <w:rFonts w:eastAsia="NanumGothic"/>
          <w:sz w:val="20"/>
        </w:rPr>
        <w:t>Costruzione di un piano di sviluppo per il miglioramento delle competenze di leadership</w:t>
      </w:r>
    </w:p>
    <w:p w14:paraId="715EB661" w14:textId="73ACF48B" w:rsidR="005425EB" w:rsidRDefault="005425EB" w:rsidP="003B150B">
      <w:pPr>
        <w:spacing w:line="240" w:lineRule="exact"/>
        <w:rPr>
          <w:rFonts w:eastAsia="NanumGothic"/>
          <w:b/>
          <w:bCs/>
          <w:sz w:val="20"/>
        </w:rPr>
      </w:pPr>
      <w:r w:rsidRPr="005425EB">
        <w:rPr>
          <w:rFonts w:eastAsia="NanumGothic"/>
          <w:b/>
          <w:bCs/>
          <w:sz w:val="20"/>
        </w:rPr>
        <w:t>Unità 9</w:t>
      </w:r>
    </w:p>
    <w:p w14:paraId="4D2E6C8F" w14:textId="45F13502" w:rsidR="005425EB" w:rsidRDefault="005425EB" w:rsidP="003B150B">
      <w:pPr>
        <w:spacing w:line="240" w:lineRule="exact"/>
        <w:rPr>
          <w:rFonts w:eastAsia="NanumGothic"/>
          <w:sz w:val="20"/>
        </w:rPr>
      </w:pPr>
      <w:r>
        <w:rPr>
          <w:rFonts w:eastAsia="NanumGothic"/>
          <w:sz w:val="20"/>
        </w:rPr>
        <w:t>Stili di influenza e dimensioni cross culturali</w:t>
      </w:r>
    </w:p>
    <w:p w14:paraId="518B6F5C" w14:textId="765BA3DA" w:rsidR="005425EB" w:rsidRDefault="005425EB" w:rsidP="003B150B">
      <w:pPr>
        <w:spacing w:line="240" w:lineRule="exact"/>
        <w:rPr>
          <w:rFonts w:eastAsia="NanumGothic"/>
          <w:b/>
          <w:bCs/>
          <w:sz w:val="20"/>
        </w:rPr>
      </w:pPr>
      <w:r w:rsidRPr="005425EB">
        <w:rPr>
          <w:rFonts w:eastAsia="NanumGothic"/>
          <w:b/>
          <w:bCs/>
          <w:sz w:val="20"/>
        </w:rPr>
        <w:t>Unità 10</w:t>
      </w:r>
    </w:p>
    <w:p w14:paraId="34A9C6E6" w14:textId="41FB90D7" w:rsidR="005425EB" w:rsidRPr="005425EB" w:rsidRDefault="005425EB" w:rsidP="003B150B">
      <w:pPr>
        <w:spacing w:line="240" w:lineRule="exact"/>
        <w:rPr>
          <w:rFonts w:eastAsia="NanumGothic"/>
          <w:sz w:val="20"/>
        </w:rPr>
      </w:pPr>
      <w:r>
        <w:rPr>
          <w:rFonts w:eastAsia="NanumGothic"/>
          <w:sz w:val="20"/>
        </w:rPr>
        <w:t xml:space="preserve">Cambiamento organizzativo e transizione psicologica </w:t>
      </w:r>
    </w:p>
    <w:p w14:paraId="017B2ABE" w14:textId="059DC52A" w:rsidR="00551A11" w:rsidRDefault="00551A11" w:rsidP="00551A11">
      <w:pPr>
        <w:spacing w:before="120" w:line="240" w:lineRule="exact"/>
        <w:rPr>
          <w:rFonts w:eastAsia="NanumGothic"/>
          <w:sz w:val="20"/>
        </w:rPr>
      </w:pPr>
      <w:r w:rsidRPr="00120C52">
        <w:rPr>
          <w:rFonts w:ascii="Times" w:eastAsia="NanumGothic" w:hAnsi="Times"/>
          <w:smallCaps/>
          <w:noProof/>
          <w:sz w:val="18"/>
          <w:szCs w:val="20"/>
        </w:rPr>
        <w:t>Secondo Modulo</w:t>
      </w:r>
      <w:r w:rsidRPr="00120C52">
        <w:rPr>
          <w:rFonts w:eastAsia="NanumGothic"/>
          <w:i/>
          <w:sz w:val="20"/>
        </w:rPr>
        <w:t xml:space="preserve">. Prof. Fabio Cecchinato </w:t>
      </w:r>
      <w:r w:rsidRPr="000F7CFD">
        <w:rPr>
          <w:rFonts w:eastAsia="NanumGothic"/>
          <w:sz w:val="20"/>
        </w:rPr>
        <w:t>(30 ore)</w:t>
      </w:r>
    </w:p>
    <w:p w14:paraId="2130AFAD" w14:textId="77777777" w:rsidR="004B5F1A" w:rsidRPr="00120C52" w:rsidRDefault="004B5F1A" w:rsidP="004B5F1A">
      <w:pPr>
        <w:spacing w:line="240" w:lineRule="exact"/>
        <w:rPr>
          <w:rFonts w:eastAsia="NanumGothic"/>
          <w:sz w:val="20"/>
        </w:rPr>
      </w:pPr>
      <w:r w:rsidRPr="00120C52">
        <w:rPr>
          <w:rFonts w:eastAsia="NanumGothic"/>
          <w:sz w:val="20"/>
        </w:rPr>
        <w:t>Si propone di introdurre gli studenti alla conoscenza e uso critico di alcuni dispositivi di valutazione delle prestazioni e del potenziale delle risorse umane.</w:t>
      </w:r>
    </w:p>
    <w:p w14:paraId="63D05663" w14:textId="77777777" w:rsidR="004B5F1A" w:rsidRPr="00120C52" w:rsidRDefault="004B5F1A" w:rsidP="004B5F1A">
      <w:pPr>
        <w:spacing w:line="240" w:lineRule="exact"/>
        <w:rPr>
          <w:rFonts w:eastAsia="NanumGothic"/>
          <w:sz w:val="20"/>
        </w:rPr>
      </w:pPr>
      <w:r w:rsidRPr="00120C52">
        <w:rPr>
          <w:rFonts w:eastAsia="NanumGothic"/>
          <w:sz w:val="20"/>
        </w:rPr>
        <w:t>In particolare, attraverso la decostruzione e ricostruzione di casi concreti, verranno analizzate le implicazioni inerenti l’esigenza di valorizzare le conoscenze contestuali delle realtà di lavoro incontrate e la cura dei linguaggi impiegati.</w:t>
      </w:r>
    </w:p>
    <w:p w14:paraId="4A8F0C4D" w14:textId="77777777" w:rsidR="004B5F1A" w:rsidRDefault="004B5F1A" w:rsidP="00986206">
      <w:pPr>
        <w:spacing w:line="240" w:lineRule="exact"/>
        <w:rPr>
          <w:rFonts w:eastAsia="NanumGothic"/>
          <w:sz w:val="20"/>
        </w:rPr>
      </w:pPr>
      <w:r w:rsidRPr="00120C52">
        <w:rPr>
          <w:rFonts w:eastAsia="NanumGothic"/>
          <w:sz w:val="20"/>
        </w:rPr>
        <w:t>Gli studenti saranno aiutati a utilizzare uno sguardo r</w:t>
      </w:r>
      <w:r>
        <w:rPr>
          <w:rFonts w:eastAsia="NanumGothic"/>
          <w:sz w:val="20"/>
        </w:rPr>
        <w:t xml:space="preserve">iflessivo e critico attraverso </w:t>
      </w:r>
      <w:r w:rsidRPr="00120C52">
        <w:rPr>
          <w:rFonts w:eastAsia="NanumGothic"/>
          <w:sz w:val="20"/>
        </w:rPr>
        <w:t xml:space="preserve">l’esplorazione concreta di pratiche di valutazione e sviluppo e del loro impianto metodologico e tecnico. In particolare verranno affrontate attività quali: la </w:t>
      </w:r>
      <w:r w:rsidRPr="00120C52">
        <w:rPr>
          <w:rFonts w:eastAsia="NanumGothic"/>
          <w:sz w:val="20"/>
        </w:rPr>
        <w:lastRenderedPageBreak/>
        <w:t>valutazione della prestazione e del potenziale; i setting di accompagnamento e appre</w:t>
      </w:r>
      <w:r>
        <w:rPr>
          <w:rFonts w:eastAsia="NanumGothic"/>
          <w:sz w:val="20"/>
        </w:rPr>
        <w:t>ndimento individuali (</w:t>
      </w:r>
      <w:r w:rsidRPr="00120C52">
        <w:rPr>
          <w:rFonts w:eastAsia="NanumGothic"/>
          <w:sz w:val="20"/>
        </w:rPr>
        <w:t xml:space="preserve">coaching). </w:t>
      </w:r>
    </w:p>
    <w:p w14:paraId="6CD7B4DF" w14:textId="77777777" w:rsidR="004B5F1A" w:rsidRPr="00574BFB" w:rsidRDefault="004B5F1A" w:rsidP="004B5F1A">
      <w:pPr>
        <w:spacing w:line="240" w:lineRule="exact"/>
        <w:rPr>
          <w:rFonts w:eastAsia="NanumGothic"/>
          <w:b/>
          <w:bCs/>
          <w:sz w:val="20"/>
        </w:rPr>
      </w:pPr>
      <w:r w:rsidRPr="00574BFB">
        <w:rPr>
          <w:rFonts w:eastAsia="NanumGothic"/>
          <w:b/>
          <w:bCs/>
          <w:sz w:val="20"/>
        </w:rPr>
        <w:t>Unità 1</w:t>
      </w:r>
    </w:p>
    <w:p w14:paraId="2A42B31E" w14:textId="77777777" w:rsidR="004B5F1A" w:rsidRDefault="004B5F1A" w:rsidP="004B5F1A">
      <w:pPr>
        <w:spacing w:line="240" w:lineRule="exact"/>
        <w:rPr>
          <w:rFonts w:eastAsia="NanumGothic"/>
          <w:sz w:val="20"/>
        </w:rPr>
      </w:pPr>
      <w:r>
        <w:rPr>
          <w:rFonts w:eastAsia="NanumGothic"/>
          <w:sz w:val="20"/>
        </w:rPr>
        <w:t>Introduzione al Performance Management</w:t>
      </w:r>
    </w:p>
    <w:p w14:paraId="5BDE5326" w14:textId="77777777" w:rsidR="004B5F1A" w:rsidRPr="00574BFB" w:rsidRDefault="004B5F1A" w:rsidP="004B5F1A">
      <w:pPr>
        <w:spacing w:line="240" w:lineRule="exact"/>
        <w:rPr>
          <w:rFonts w:eastAsia="NanumGothic"/>
          <w:b/>
          <w:bCs/>
          <w:sz w:val="20"/>
        </w:rPr>
      </w:pPr>
      <w:r w:rsidRPr="00574BFB">
        <w:rPr>
          <w:rFonts w:eastAsia="NanumGothic"/>
          <w:b/>
          <w:bCs/>
          <w:sz w:val="20"/>
        </w:rPr>
        <w:t>Unità 2</w:t>
      </w:r>
    </w:p>
    <w:p w14:paraId="7B28BD0E" w14:textId="77777777" w:rsidR="004B5F1A" w:rsidRDefault="004B5F1A" w:rsidP="004B5F1A">
      <w:pPr>
        <w:spacing w:line="240" w:lineRule="exact"/>
        <w:rPr>
          <w:rFonts w:eastAsia="NanumGothic"/>
          <w:sz w:val="20"/>
        </w:rPr>
      </w:pPr>
      <w:r>
        <w:rPr>
          <w:rFonts w:eastAsia="NanumGothic"/>
          <w:sz w:val="20"/>
        </w:rPr>
        <w:t>Le storia del Performance Management</w:t>
      </w:r>
    </w:p>
    <w:p w14:paraId="64E9C3A3" w14:textId="77777777" w:rsidR="004B5F1A" w:rsidRDefault="004B5F1A" w:rsidP="004B5F1A">
      <w:pPr>
        <w:spacing w:line="240" w:lineRule="exact"/>
        <w:rPr>
          <w:rFonts w:eastAsia="NanumGothic"/>
          <w:sz w:val="20"/>
        </w:rPr>
      </w:pPr>
      <w:r>
        <w:rPr>
          <w:rFonts w:eastAsia="NanumGothic"/>
          <w:sz w:val="20"/>
        </w:rPr>
        <w:t>Case History</w:t>
      </w:r>
    </w:p>
    <w:p w14:paraId="7703204C" w14:textId="77777777" w:rsidR="004B5F1A" w:rsidRPr="00574BFB" w:rsidRDefault="004B5F1A" w:rsidP="004B5F1A">
      <w:pPr>
        <w:spacing w:line="240" w:lineRule="exact"/>
        <w:rPr>
          <w:rFonts w:eastAsia="NanumGothic"/>
          <w:b/>
          <w:bCs/>
          <w:sz w:val="20"/>
        </w:rPr>
      </w:pPr>
      <w:r w:rsidRPr="00574BFB">
        <w:rPr>
          <w:rFonts w:eastAsia="NanumGothic"/>
          <w:b/>
          <w:bCs/>
          <w:sz w:val="20"/>
        </w:rPr>
        <w:t>Unità 3</w:t>
      </w:r>
    </w:p>
    <w:p w14:paraId="4DFB0CE1" w14:textId="77777777" w:rsidR="004B5F1A" w:rsidRDefault="004B5F1A" w:rsidP="004B5F1A">
      <w:pPr>
        <w:spacing w:line="240" w:lineRule="exact"/>
        <w:rPr>
          <w:rFonts w:eastAsia="NanumGothic"/>
          <w:sz w:val="20"/>
        </w:rPr>
      </w:pPr>
      <w:r>
        <w:rPr>
          <w:rFonts w:eastAsia="NanumGothic"/>
          <w:sz w:val="20"/>
        </w:rPr>
        <w:t>La centralità dei sistemi di Performance Management</w:t>
      </w:r>
    </w:p>
    <w:p w14:paraId="3329E496" w14:textId="77777777" w:rsidR="004B5F1A" w:rsidRDefault="004B5F1A" w:rsidP="004B5F1A">
      <w:pPr>
        <w:spacing w:line="240" w:lineRule="exact"/>
        <w:rPr>
          <w:rFonts w:eastAsia="NanumGothic"/>
          <w:sz w:val="20"/>
        </w:rPr>
      </w:pPr>
      <w:r>
        <w:rPr>
          <w:rFonts w:eastAsia="NanumGothic"/>
          <w:sz w:val="20"/>
        </w:rPr>
        <w:t>Case History</w:t>
      </w:r>
    </w:p>
    <w:p w14:paraId="693327F4" w14:textId="77777777" w:rsidR="004B5F1A" w:rsidRPr="00574BFB" w:rsidRDefault="004B5F1A" w:rsidP="004B5F1A">
      <w:pPr>
        <w:spacing w:line="240" w:lineRule="exact"/>
        <w:rPr>
          <w:rFonts w:eastAsia="NanumGothic"/>
          <w:b/>
          <w:bCs/>
          <w:sz w:val="20"/>
        </w:rPr>
      </w:pPr>
      <w:r w:rsidRPr="00574BFB">
        <w:rPr>
          <w:rFonts w:eastAsia="NanumGothic"/>
          <w:b/>
          <w:bCs/>
          <w:sz w:val="20"/>
        </w:rPr>
        <w:t>Unità 4</w:t>
      </w:r>
    </w:p>
    <w:p w14:paraId="6A90B732" w14:textId="77777777" w:rsidR="004B5F1A" w:rsidRDefault="004B5F1A" w:rsidP="004B5F1A">
      <w:pPr>
        <w:spacing w:line="240" w:lineRule="exact"/>
        <w:rPr>
          <w:rFonts w:eastAsia="NanumGothic"/>
          <w:sz w:val="20"/>
        </w:rPr>
      </w:pPr>
      <w:r>
        <w:rPr>
          <w:rFonts w:eastAsia="NanumGothic"/>
          <w:sz w:val="20"/>
        </w:rPr>
        <w:t>Le evoluzioni attuali del Performance Management</w:t>
      </w:r>
    </w:p>
    <w:p w14:paraId="4CD0E729" w14:textId="77777777" w:rsidR="004B5F1A" w:rsidRDefault="004B5F1A" w:rsidP="004B5F1A">
      <w:pPr>
        <w:spacing w:line="240" w:lineRule="exact"/>
        <w:rPr>
          <w:rFonts w:eastAsia="NanumGothic"/>
          <w:sz w:val="20"/>
        </w:rPr>
      </w:pPr>
      <w:r>
        <w:rPr>
          <w:rFonts w:eastAsia="NanumGothic"/>
          <w:sz w:val="20"/>
        </w:rPr>
        <w:t>Case History</w:t>
      </w:r>
    </w:p>
    <w:p w14:paraId="0540DC40" w14:textId="77777777" w:rsidR="004B5F1A" w:rsidRPr="00574BFB" w:rsidRDefault="004B5F1A" w:rsidP="004B5F1A">
      <w:pPr>
        <w:spacing w:line="240" w:lineRule="exact"/>
        <w:rPr>
          <w:rFonts w:eastAsia="NanumGothic"/>
          <w:b/>
          <w:bCs/>
          <w:sz w:val="20"/>
        </w:rPr>
      </w:pPr>
      <w:r w:rsidRPr="00574BFB">
        <w:rPr>
          <w:rFonts w:eastAsia="NanumGothic"/>
          <w:b/>
          <w:bCs/>
          <w:sz w:val="20"/>
        </w:rPr>
        <w:t>Unità 5</w:t>
      </w:r>
    </w:p>
    <w:p w14:paraId="244E3A40" w14:textId="77777777" w:rsidR="004B5F1A" w:rsidRDefault="004B5F1A" w:rsidP="004B5F1A">
      <w:pPr>
        <w:spacing w:line="240" w:lineRule="exact"/>
        <w:rPr>
          <w:rFonts w:eastAsia="NanumGothic"/>
          <w:sz w:val="20"/>
        </w:rPr>
      </w:pPr>
      <w:r>
        <w:rPr>
          <w:rFonts w:eastAsia="NanumGothic"/>
          <w:sz w:val="20"/>
        </w:rPr>
        <w:t>La cultura Neomanageriale nel Performance Management</w:t>
      </w:r>
    </w:p>
    <w:p w14:paraId="681D6929" w14:textId="77777777" w:rsidR="004B5F1A" w:rsidRPr="00574BFB" w:rsidRDefault="004B5F1A" w:rsidP="004B5F1A">
      <w:pPr>
        <w:spacing w:line="240" w:lineRule="exact"/>
        <w:rPr>
          <w:rFonts w:eastAsia="NanumGothic"/>
          <w:b/>
          <w:bCs/>
          <w:sz w:val="20"/>
        </w:rPr>
      </w:pPr>
      <w:r w:rsidRPr="00574BFB">
        <w:rPr>
          <w:rFonts w:eastAsia="NanumGothic"/>
          <w:b/>
          <w:bCs/>
          <w:sz w:val="20"/>
        </w:rPr>
        <w:t xml:space="preserve">Unità 6 </w:t>
      </w:r>
    </w:p>
    <w:p w14:paraId="4B5847C6" w14:textId="77777777" w:rsidR="004B5F1A" w:rsidRDefault="004B5F1A" w:rsidP="004B5F1A">
      <w:pPr>
        <w:spacing w:line="240" w:lineRule="exact"/>
        <w:rPr>
          <w:rFonts w:eastAsia="NanumGothic"/>
          <w:sz w:val="20"/>
        </w:rPr>
      </w:pPr>
      <w:r>
        <w:rPr>
          <w:rFonts w:eastAsia="NanumGothic"/>
          <w:sz w:val="20"/>
        </w:rPr>
        <w:t>Introduzione alla valutazione del Potenziale</w:t>
      </w:r>
    </w:p>
    <w:p w14:paraId="14C656C4" w14:textId="77777777" w:rsidR="004B5F1A" w:rsidRPr="00574BFB" w:rsidRDefault="004B5F1A" w:rsidP="004B5F1A">
      <w:pPr>
        <w:spacing w:line="240" w:lineRule="exact"/>
        <w:rPr>
          <w:rFonts w:eastAsia="NanumGothic"/>
          <w:b/>
          <w:bCs/>
          <w:sz w:val="20"/>
        </w:rPr>
      </w:pPr>
      <w:r w:rsidRPr="00574BFB">
        <w:rPr>
          <w:rFonts w:eastAsia="NanumGothic"/>
          <w:b/>
          <w:bCs/>
          <w:sz w:val="20"/>
        </w:rPr>
        <w:t>Unità 7</w:t>
      </w:r>
    </w:p>
    <w:p w14:paraId="17FB5CE5" w14:textId="77777777" w:rsidR="004B5F1A" w:rsidRDefault="004B5F1A" w:rsidP="004B5F1A">
      <w:pPr>
        <w:spacing w:line="240" w:lineRule="exact"/>
        <w:rPr>
          <w:rFonts w:eastAsia="NanumGothic"/>
          <w:sz w:val="20"/>
        </w:rPr>
      </w:pPr>
      <w:r>
        <w:rPr>
          <w:rFonts w:eastAsia="NanumGothic"/>
          <w:sz w:val="20"/>
        </w:rPr>
        <w:t>Progettare la valutazione del Potenziale</w:t>
      </w:r>
    </w:p>
    <w:p w14:paraId="21277FCE" w14:textId="77777777" w:rsidR="004B5F1A" w:rsidRDefault="004B5F1A" w:rsidP="004B5F1A">
      <w:pPr>
        <w:spacing w:line="240" w:lineRule="exact"/>
        <w:rPr>
          <w:rFonts w:eastAsia="NanumGothic"/>
          <w:sz w:val="20"/>
        </w:rPr>
      </w:pPr>
      <w:r>
        <w:rPr>
          <w:rFonts w:eastAsia="NanumGothic"/>
          <w:sz w:val="20"/>
        </w:rPr>
        <w:t>Case History</w:t>
      </w:r>
    </w:p>
    <w:p w14:paraId="035EC7AC" w14:textId="77777777" w:rsidR="004B5F1A" w:rsidRPr="00574BFB" w:rsidRDefault="004B5F1A" w:rsidP="004B5F1A">
      <w:pPr>
        <w:spacing w:line="240" w:lineRule="exact"/>
        <w:rPr>
          <w:rFonts w:eastAsia="NanumGothic"/>
          <w:b/>
          <w:bCs/>
          <w:sz w:val="20"/>
        </w:rPr>
      </w:pPr>
      <w:r w:rsidRPr="00574BFB">
        <w:rPr>
          <w:rFonts w:eastAsia="NanumGothic"/>
          <w:b/>
          <w:bCs/>
          <w:sz w:val="20"/>
        </w:rPr>
        <w:t>Unità 8</w:t>
      </w:r>
    </w:p>
    <w:p w14:paraId="661ED00C" w14:textId="77777777" w:rsidR="004B5F1A" w:rsidRDefault="004B5F1A" w:rsidP="004B5F1A">
      <w:pPr>
        <w:spacing w:line="240" w:lineRule="exact"/>
        <w:rPr>
          <w:rFonts w:eastAsia="NanumGothic"/>
          <w:sz w:val="20"/>
        </w:rPr>
      </w:pPr>
      <w:r>
        <w:rPr>
          <w:rFonts w:eastAsia="NanumGothic"/>
          <w:sz w:val="20"/>
        </w:rPr>
        <w:t>Workshop esperienziale di valutazione del Potenziale</w:t>
      </w:r>
    </w:p>
    <w:p w14:paraId="47204FE6" w14:textId="77777777" w:rsidR="004B5F1A" w:rsidRPr="00574BFB" w:rsidRDefault="004B5F1A" w:rsidP="004B5F1A">
      <w:pPr>
        <w:spacing w:line="240" w:lineRule="exact"/>
        <w:rPr>
          <w:rFonts w:eastAsia="NanumGothic"/>
          <w:b/>
          <w:bCs/>
          <w:sz w:val="20"/>
        </w:rPr>
      </w:pPr>
      <w:r w:rsidRPr="00574BFB">
        <w:rPr>
          <w:rFonts w:eastAsia="NanumGothic"/>
          <w:b/>
          <w:bCs/>
          <w:sz w:val="20"/>
        </w:rPr>
        <w:t>Unità 9</w:t>
      </w:r>
    </w:p>
    <w:p w14:paraId="3DA607D7" w14:textId="77777777" w:rsidR="004B5F1A" w:rsidRDefault="004B5F1A" w:rsidP="004B5F1A">
      <w:pPr>
        <w:spacing w:line="240" w:lineRule="exact"/>
        <w:rPr>
          <w:rFonts w:eastAsia="NanumGothic"/>
          <w:sz w:val="20"/>
        </w:rPr>
      </w:pPr>
      <w:r>
        <w:rPr>
          <w:rFonts w:eastAsia="NanumGothic"/>
          <w:sz w:val="20"/>
        </w:rPr>
        <w:t>Il profilo di potenziale e il design dell’assessment center</w:t>
      </w:r>
    </w:p>
    <w:p w14:paraId="2587A26B" w14:textId="77777777" w:rsidR="004B5F1A" w:rsidRPr="00574BFB" w:rsidRDefault="004B5F1A" w:rsidP="004B5F1A">
      <w:pPr>
        <w:spacing w:line="240" w:lineRule="exact"/>
        <w:rPr>
          <w:rFonts w:eastAsia="NanumGothic"/>
          <w:b/>
          <w:bCs/>
          <w:sz w:val="20"/>
        </w:rPr>
      </w:pPr>
      <w:r w:rsidRPr="00574BFB">
        <w:rPr>
          <w:rFonts w:eastAsia="NanumGothic"/>
          <w:b/>
          <w:bCs/>
          <w:sz w:val="20"/>
        </w:rPr>
        <w:t>Unità 10</w:t>
      </w:r>
    </w:p>
    <w:p w14:paraId="5F6E9825" w14:textId="77777777" w:rsidR="004B5F1A" w:rsidRPr="00120C52" w:rsidRDefault="004B5F1A" w:rsidP="004B5F1A">
      <w:pPr>
        <w:spacing w:line="240" w:lineRule="exact"/>
        <w:rPr>
          <w:rFonts w:eastAsia="NanumGothic"/>
          <w:sz w:val="20"/>
        </w:rPr>
      </w:pPr>
      <w:r>
        <w:rPr>
          <w:rFonts w:eastAsia="NanumGothic"/>
          <w:sz w:val="20"/>
        </w:rPr>
        <w:t xml:space="preserve">Rielaborazione del percorso e conclusioni </w:t>
      </w:r>
    </w:p>
    <w:p w14:paraId="43403198" w14:textId="77E95C4F" w:rsidR="0071622F" w:rsidRPr="000F7CFD" w:rsidRDefault="0071622F" w:rsidP="0071622F">
      <w:pPr>
        <w:spacing w:before="240" w:after="120" w:line="220" w:lineRule="exact"/>
        <w:rPr>
          <w:rFonts w:eastAsia="NanumGothic"/>
          <w:b/>
          <w:i/>
          <w:sz w:val="18"/>
        </w:rPr>
      </w:pPr>
      <w:r>
        <w:rPr>
          <w:rFonts w:eastAsia="NanumGothic"/>
          <w:b/>
          <w:i/>
          <w:sz w:val="18"/>
        </w:rPr>
        <w:t>BIBLIOGRAFIA</w:t>
      </w:r>
      <w:r w:rsidR="006F032C">
        <w:rPr>
          <w:rStyle w:val="Rimandonotaapidipagina"/>
          <w:rFonts w:eastAsia="NanumGothic"/>
          <w:b/>
          <w:i/>
          <w:sz w:val="18"/>
        </w:rPr>
        <w:footnoteReference w:id="1"/>
      </w:r>
    </w:p>
    <w:p w14:paraId="6BDCBED6" w14:textId="77777777" w:rsidR="003B150B" w:rsidRPr="000F7CFD" w:rsidRDefault="003B150B" w:rsidP="00636823">
      <w:pPr>
        <w:pStyle w:val="Testo1"/>
        <w:ind w:firstLine="0"/>
        <w:rPr>
          <w:rFonts w:eastAsia="NanumGothic"/>
        </w:rPr>
      </w:pPr>
      <w:r w:rsidRPr="000F7CFD">
        <w:rPr>
          <w:rFonts w:eastAsia="NanumGothic"/>
        </w:rPr>
        <w:t>Parte I</w:t>
      </w:r>
    </w:p>
    <w:p w14:paraId="0E91FF85" w14:textId="39289772" w:rsidR="003B150B" w:rsidRPr="006F032C" w:rsidRDefault="003B150B" w:rsidP="006F032C">
      <w:r w:rsidRPr="006F032C">
        <w:rPr>
          <w:rFonts w:eastAsia="NanumGothic"/>
          <w:smallCaps/>
          <w:spacing w:val="-5"/>
          <w:sz w:val="18"/>
          <w:szCs w:val="18"/>
        </w:rPr>
        <w:t>H.L. Tosi-M. Pilati,</w:t>
      </w:r>
      <w:r w:rsidRPr="006F032C">
        <w:rPr>
          <w:rFonts w:eastAsia="NanumGothic"/>
          <w:i/>
          <w:spacing w:val="-5"/>
          <w:sz w:val="18"/>
          <w:szCs w:val="18"/>
        </w:rPr>
        <w:t xml:space="preserve"> Comportamento Organizzativo,</w:t>
      </w:r>
      <w:r w:rsidRPr="006F032C">
        <w:rPr>
          <w:rFonts w:eastAsia="NanumGothic"/>
          <w:spacing w:val="-5"/>
          <w:sz w:val="18"/>
          <w:szCs w:val="18"/>
        </w:rPr>
        <w:t xml:space="preserve"> Egea, Milano, 2017, 3</w:t>
      </w:r>
      <w:r w:rsidRPr="006F032C">
        <w:rPr>
          <w:rFonts w:eastAsia="NanumGothic"/>
          <w:spacing w:val="-5"/>
          <w:sz w:val="18"/>
          <w:szCs w:val="18"/>
          <w:vertAlign w:val="superscript"/>
        </w:rPr>
        <w:t>a</w:t>
      </w:r>
      <w:r w:rsidRPr="006F032C">
        <w:rPr>
          <w:rFonts w:eastAsia="NanumGothic"/>
          <w:spacing w:val="-5"/>
          <w:sz w:val="18"/>
          <w:szCs w:val="18"/>
        </w:rPr>
        <w:t xml:space="preserve"> ed. Capitoli 1, 2, 3, 5, 10, 11, 12 e 13.</w:t>
      </w:r>
      <w:r w:rsidR="006F032C" w:rsidRPr="006F032C">
        <w:rPr>
          <w:i/>
          <w:sz w:val="16"/>
          <w:szCs w:val="16"/>
        </w:rPr>
        <w:t xml:space="preserve"> </w:t>
      </w:r>
      <w:hyperlink r:id="rId9" w:history="1">
        <w:r w:rsidR="006F032C" w:rsidRPr="006F032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2045AD3" w14:textId="77777777" w:rsidR="003B150B" w:rsidRPr="00605229" w:rsidRDefault="003B150B" w:rsidP="003B150B">
      <w:pPr>
        <w:pStyle w:val="Testo1"/>
        <w:rPr>
          <w:rFonts w:eastAsia="NanumGothic"/>
        </w:rPr>
      </w:pPr>
      <w:r w:rsidRPr="00605229">
        <w:rPr>
          <w:rFonts w:eastAsia="NanumGothic"/>
        </w:rPr>
        <w:t>Selezione di articoli in lingua italiana e inglese tratti da riviste scientifiche specializzate.</w:t>
      </w:r>
    </w:p>
    <w:p w14:paraId="4C1D0B65" w14:textId="77777777" w:rsidR="003B150B" w:rsidRPr="000F7CFD" w:rsidRDefault="003B150B" w:rsidP="00636823">
      <w:pPr>
        <w:pStyle w:val="Testo1"/>
        <w:ind w:firstLine="0"/>
        <w:rPr>
          <w:rFonts w:eastAsia="NanumGothic"/>
        </w:rPr>
      </w:pPr>
      <w:r w:rsidRPr="000F7CFD">
        <w:rPr>
          <w:rFonts w:eastAsia="NanumGothic"/>
        </w:rPr>
        <w:t>Parte II</w:t>
      </w:r>
    </w:p>
    <w:p w14:paraId="22742749" w14:textId="77777777" w:rsidR="00551A11" w:rsidRPr="00792B49" w:rsidRDefault="00551A11" w:rsidP="00551A11">
      <w:pPr>
        <w:pStyle w:val="Testo1"/>
        <w:spacing w:before="0"/>
      </w:pPr>
      <w:r w:rsidRPr="00792B49">
        <w:rPr>
          <w:rFonts w:eastAsiaTheme="minorEastAsia"/>
          <w:i/>
          <w:iCs/>
          <w:color w:val="000000" w:themeColor="text1"/>
        </w:rPr>
        <w:t>Performance management e talent management</w:t>
      </w:r>
    </w:p>
    <w:p w14:paraId="5D13D882" w14:textId="356387EA" w:rsidR="00551A11" w:rsidRPr="006F032C" w:rsidRDefault="00551A11" w:rsidP="006F032C">
      <w:r w:rsidRPr="006F032C">
        <w:rPr>
          <w:rFonts w:eastAsiaTheme="minorEastAsia"/>
          <w:smallCaps/>
          <w:spacing w:val="-5"/>
          <w:sz w:val="18"/>
          <w:szCs w:val="18"/>
        </w:rPr>
        <w:t>D. Boldizzoni-L. Quaratino</w:t>
      </w:r>
      <w:r w:rsidRPr="006F032C">
        <w:rPr>
          <w:rFonts w:eastAsiaTheme="minorEastAsia"/>
          <w:iCs/>
          <w:smallCaps/>
          <w:spacing w:val="-5"/>
          <w:sz w:val="18"/>
          <w:szCs w:val="18"/>
        </w:rPr>
        <w:t xml:space="preserve">, </w:t>
      </w:r>
      <w:r w:rsidRPr="006F032C">
        <w:rPr>
          <w:rFonts w:eastAsiaTheme="minorEastAsia"/>
          <w:i/>
          <w:iCs/>
          <w:spacing w:val="-5"/>
          <w:sz w:val="18"/>
          <w:szCs w:val="18"/>
        </w:rPr>
        <w:t>Risorse Umane</w:t>
      </w:r>
      <w:r w:rsidRPr="006F032C">
        <w:rPr>
          <w:rFonts w:eastAsiaTheme="minorEastAsia"/>
          <w:i/>
          <w:spacing w:val="-5"/>
          <w:sz w:val="18"/>
          <w:szCs w:val="18"/>
        </w:rPr>
        <w:t>,</w:t>
      </w:r>
      <w:r w:rsidRPr="006F032C">
        <w:rPr>
          <w:rFonts w:eastAsiaTheme="minorEastAsia"/>
          <w:spacing w:val="-5"/>
          <w:sz w:val="18"/>
          <w:szCs w:val="18"/>
        </w:rPr>
        <w:t xml:space="preserve"> Il Mulino, Bologna, 2014. Capitolo 4: </w:t>
      </w:r>
      <w:r w:rsidRPr="006F032C">
        <w:rPr>
          <w:rFonts w:eastAsiaTheme="minorEastAsia"/>
          <w:i/>
          <w:iCs/>
          <w:spacing w:val="-5"/>
          <w:sz w:val="18"/>
          <w:szCs w:val="18"/>
        </w:rPr>
        <w:t>La valutazione: dalle prestazioni alle competenze</w:t>
      </w:r>
      <w:r w:rsidRPr="006F032C">
        <w:rPr>
          <w:rFonts w:eastAsiaTheme="minorEastAsia"/>
          <w:iCs/>
          <w:spacing w:val="-5"/>
          <w:sz w:val="18"/>
          <w:szCs w:val="18"/>
        </w:rPr>
        <w:t xml:space="preserve"> (</w:t>
      </w:r>
      <w:proofErr w:type="spellStart"/>
      <w:r w:rsidRPr="006F032C">
        <w:rPr>
          <w:rFonts w:eastAsiaTheme="minorEastAsia"/>
          <w:iCs/>
          <w:spacing w:val="-5"/>
          <w:sz w:val="18"/>
          <w:szCs w:val="18"/>
        </w:rPr>
        <w:t>pp</w:t>
      </w:r>
      <w:proofErr w:type="spellEnd"/>
      <w:r w:rsidRPr="006F032C">
        <w:rPr>
          <w:rFonts w:eastAsiaTheme="minorEastAsia"/>
          <w:iCs/>
          <w:spacing w:val="-5"/>
          <w:sz w:val="18"/>
          <w:szCs w:val="18"/>
        </w:rPr>
        <w:t xml:space="preserve"> 91-126).</w:t>
      </w:r>
      <w:r w:rsidR="006F032C" w:rsidRPr="006F032C">
        <w:rPr>
          <w:i/>
          <w:sz w:val="16"/>
          <w:szCs w:val="16"/>
        </w:rPr>
        <w:t xml:space="preserve"> </w:t>
      </w:r>
      <w:hyperlink r:id="rId10" w:history="1">
        <w:r w:rsidR="006F032C" w:rsidRPr="006F032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D65EDE2" w14:textId="77777777" w:rsidR="00551A11" w:rsidRPr="000F7CFD" w:rsidRDefault="00551A11" w:rsidP="00551A11">
      <w:pPr>
        <w:pStyle w:val="Testo1"/>
        <w:spacing w:before="0" w:line="240" w:lineRule="atLeast"/>
        <w:rPr>
          <w:spacing w:val="-5"/>
        </w:rPr>
      </w:pPr>
      <w:r w:rsidRPr="000F7CFD">
        <w:rPr>
          <w:rFonts w:eastAsiaTheme="minorEastAsia"/>
          <w:iCs/>
          <w:smallCaps/>
          <w:spacing w:val="-5"/>
          <w:sz w:val="16"/>
        </w:rPr>
        <w:lastRenderedPageBreak/>
        <w:t>R.</w:t>
      </w:r>
      <w:r>
        <w:rPr>
          <w:rFonts w:eastAsiaTheme="minorEastAsia"/>
          <w:iCs/>
          <w:smallCaps/>
          <w:spacing w:val="-5"/>
          <w:sz w:val="16"/>
        </w:rPr>
        <w:t xml:space="preserve"> </w:t>
      </w:r>
      <w:r w:rsidRPr="000F7CFD">
        <w:rPr>
          <w:rFonts w:eastAsiaTheme="minorEastAsia"/>
          <w:iCs/>
          <w:smallCaps/>
          <w:spacing w:val="-5"/>
          <w:sz w:val="16"/>
        </w:rPr>
        <w:t>Boccalari,</w:t>
      </w:r>
      <w:r w:rsidRPr="000F7CFD">
        <w:rPr>
          <w:rFonts w:eastAsiaTheme="minorEastAsia"/>
          <w:i/>
          <w:iCs/>
          <w:spacing w:val="-5"/>
        </w:rPr>
        <w:t xml:space="preserve"> Talent Management. Agenda per gli anni 2010.,</w:t>
      </w:r>
      <w:r w:rsidRPr="000F7CFD">
        <w:rPr>
          <w:rFonts w:eastAsiaTheme="minorEastAsia"/>
          <w:iCs/>
          <w:spacing w:val="-5"/>
        </w:rPr>
        <w:t xml:space="preserve"> </w:t>
      </w:r>
      <w:r w:rsidRPr="000F7CFD">
        <w:rPr>
          <w:rFonts w:eastAsiaTheme="minorEastAsia"/>
          <w:i/>
          <w:iCs/>
          <w:spacing w:val="-5"/>
        </w:rPr>
        <w:t xml:space="preserve">Sviluppo e Organizzazione, </w:t>
      </w:r>
      <w:r w:rsidRPr="000F7CFD">
        <w:rPr>
          <w:rFonts w:eastAsiaTheme="minorEastAsia"/>
          <w:iCs/>
          <w:spacing w:val="-5"/>
        </w:rPr>
        <w:t>Marzo-Aprile 2011.</w:t>
      </w:r>
    </w:p>
    <w:p w14:paraId="2A63DE34" w14:textId="77777777" w:rsidR="00551A11" w:rsidRPr="000F7CFD" w:rsidRDefault="00551A11" w:rsidP="00551A11">
      <w:pPr>
        <w:pStyle w:val="Testo1"/>
      </w:pPr>
      <w:r w:rsidRPr="000F7CFD">
        <w:rPr>
          <w:rFonts w:eastAsiaTheme="minorEastAsia"/>
          <w:iCs/>
          <w:color w:val="000000" w:themeColor="text1"/>
        </w:rPr>
        <w:t>Coaching</w:t>
      </w:r>
    </w:p>
    <w:p w14:paraId="54504855" w14:textId="77777777" w:rsidR="00551A11" w:rsidRPr="000F7CFD" w:rsidRDefault="00551A11" w:rsidP="00551A11">
      <w:pPr>
        <w:pStyle w:val="Testo1"/>
        <w:spacing w:before="0" w:line="240" w:lineRule="atLeast"/>
        <w:rPr>
          <w:spacing w:val="-5"/>
        </w:rPr>
      </w:pPr>
      <w:r w:rsidRPr="000F7CFD">
        <w:rPr>
          <w:rFonts w:eastAsiaTheme="minorEastAsia"/>
          <w:smallCaps/>
          <w:spacing w:val="-5"/>
          <w:sz w:val="16"/>
        </w:rPr>
        <w:t>R. Montalbano,</w:t>
      </w:r>
      <w:r w:rsidRPr="000F7CFD">
        <w:rPr>
          <w:rFonts w:eastAsiaTheme="minorEastAsia"/>
          <w:i/>
          <w:spacing w:val="-5"/>
        </w:rPr>
        <w:t xml:space="preserve"> </w:t>
      </w:r>
      <w:r w:rsidRPr="000F7CFD">
        <w:rPr>
          <w:rFonts w:eastAsiaTheme="minorEastAsia"/>
          <w:i/>
          <w:iCs/>
          <w:spacing w:val="-5"/>
        </w:rPr>
        <w:t>Le evoluzioni del coaching</w:t>
      </w:r>
      <w:r w:rsidRPr="000F7CFD">
        <w:rPr>
          <w:rFonts w:eastAsiaTheme="minorEastAsia"/>
          <w:i/>
          <w:spacing w:val="-5"/>
        </w:rPr>
        <w:t>,</w:t>
      </w:r>
      <w:r w:rsidRPr="000F7CFD">
        <w:rPr>
          <w:rFonts w:eastAsiaTheme="minorEastAsia"/>
          <w:spacing w:val="-5"/>
        </w:rPr>
        <w:t xml:space="preserve"> Sviluppo &amp; Organizzazione, n.1, 2012.</w:t>
      </w:r>
    </w:p>
    <w:p w14:paraId="26F3BDBF" w14:textId="77777777" w:rsidR="00551A11" w:rsidRPr="000F7CFD" w:rsidRDefault="00551A11" w:rsidP="00551A11">
      <w:pPr>
        <w:pStyle w:val="Testo1"/>
      </w:pPr>
      <w:r w:rsidRPr="000F7CFD">
        <w:rPr>
          <w:rFonts w:eastAsiaTheme="minorEastAsia"/>
          <w:iCs/>
          <w:color w:val="000000" w:themeColor="text1"/>
        </w:rPr>
        <w:t>Sguardi riflessivi</w:t>
      </w:r>
    </w:p>
    <w:p w14:paraId="6FC30C32" w14:textId="51892DF4" w:rsidR="00551A11" w:rsidRPr="006F032C" w:rsidRDefault="00551A11" w:rsidP="006F032C">
      <w:r w:rsidRPr="006F032C">
        <w:rPr>
          <w:rFonts w:eastAsia="NanumGothic"/>
          <w:smallCaps/>
          <w:spacing w:val="-5"/>
          <w:sz w:val="18"/>
          <w:szCs w:val="18"/>
        </w:rPr>
        <w:t>F. Cecchinato,</w:t>
      </w:r>
      <w:r w:rsidRPr="006F032C">
        <w:rPr>
          <w:rFonts w:eastAsia="NanumGothic"/>
          <w:i/>
          <w:spacing w:val="-5"/>
          <w:sz w:val="18"/>
          <w:szCs w:val="18"/>
        </w:rPr>
        <w:t xml:space="preserve"> </w:t>
      </w:r>
      <w:r w:rsidRPr="006F032C">
        <w:rPr>
          <w:rFonts w:eastAsia="NanumGothic"/>
          <w:i/>
          <w:iCs/>
          <w:spacing w:val="-5"/>
          <w:sz w:val="18"/>
          <w:szCs w:val="18"/>
        </w:rPr>
        <w:t>Oltre il Neomanagement. Verso una gestione delle persone sostenibile e generativa</w:t>
      </w:r>
      <w:r w:rsidRPr="006F032C">
        <w:rPr>
          <w:rFonts w:eastAsia="NanumGothic"/>
          <w:i/>
          <w:spacing w:val="-5"/>
          <w:sz w:val="18"/>
          <w:szCs w:val="18"/>
        </w:rPr>
        <w:t>,</w:t>
      </w:r>
      <w:r w:rsidRPr="006F032C">
        <w:rPr>
          <w:rFonts w:eastAsia="NanumGothic"/>
          <w:spacing w:val="-5"/>
          <w:sz w:val="18"/>
          <w:szCs w:val="18"/>
        </w:rPr>
        <w:t xml:space="preserve"> </w:t>
      </w:r>
      <w:proofErr w:type="spellStart"/>
      <w:r w:rsidRPr="006F032C">
        <w:rPr>
          <w:rFonts w:eastAsia="NanumGothic"/>
          <w:spacing w:val="-5"/>
          <w:sz w:val="18"/>
          <w:szCs w:val="18"/>
        </w:rPr>
        <w:t>Guerini</w:t>
      </w:r>
      <w:proofErr w:type="spellEnd"/>
      <w:r w:rsidRPr="006F032C">
        <w:rPr>
          <w:rFonts w:eastAsia="NanumGothic"/>
          <w:spacing w:val="-5"/>
          <w:sz w:val="18"/>
          <w:szCs w:val="18"/>
        </w:rPr>
        <w:t>, Milano, 2019.</w:t>
      </w:r>
      <w:r w:rsidR="006F032C" w:rsidRPr="006F032C">
        <w:rPr>
          <w:i/>
          <w:sz w:val="16"/>
          <w:szCs w:val="16"/>
        </w:rPr>
        <w:t xml:space="preserve"> </w:t>
      </w:r>
      <w:hyperlink r:id="rId11" w:history="1">
        <w:r w:rsidR="006F032C" w:rsidRPr="006F032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8B7C2C4" w14:textId="0346A5E6" w:rsidR="00551A11" w:rsidRPr="006F032C" w:rsidRDefault="00551A11" w:rsidP="006F032C">
      <w:r w:rsidRPr="006F032C">
        <w:rPr>
          <w:rFonts w:eastAsiaTheme="minorEastAsia"/>
          <w:smallCaps/>
          <w:spacing w:val="-5"/>
          <w:sz w:val="18"/>
          <w:szCs w:val="18"/>
          <w:lang w:val="en-US"/>
        </w:rPr>
        <w:t>S. Tosoni- F. Cecchinato,</w:t>
      </w:r>
      <w:r w:rsidRPr="006F032C">
        <w:rPr>
          <w:rFonts w:eastAsiaTheme="minorEastAsia"/>
          <w:i/>
          <w:spacing w:val="-5"/>
          <w:sz w:val="18"/>
          <w:szCs w:val="18"/>
          <w:lang w:val="en-US"/>
        </w:rPr>
        <w:t xml:space="preserve"> </w:t>
      </w:r>
      <w:r w:rsidRPr="006F032C">
        <w:rPr>
          <w:rFonts w:eastAsiaTheme="minorEastAsia"/>
          <w:i/>
          <w:iCs/>
          <w:spacing w:val="-5"/>
          <w:sz w:val="18"/>
          <w:szCs w:val="18"/>
          <w:lang w:val="en-US"/>
        </w:rPr>
        <w:t>Empowerment and emotions in “new Management” and generativity driven organizations</w:t>
      </w:r>
      <w:r w:rsidRPr="006F032C">
        <w:rPr>
          <w:rFonts w:eastAsiaTheme="minorEastAsia"/>
          <w:i/>
          <w:spacing w:val="-5"/>
          <w:sz w:val="18"/>
          <w:szCs w:val="18"/>
          <w:lang w:val="en-US"/>
        </w:rPr>
        <w:t>,</w:t>
      </w:r>
      <w:r w:rsidRPr="006F032C">
        <w:rPr>
          <w:rFonts w:eastAsiaTheme="minorEastAsia"/>
          <w:spacing w:val="-5"/>
          <w:sz w:val="18"/>
          <w:szCs w:val="18"/>
          <w:lang w:val="en-US"/>
        </w:rPr>
        <w:t xml:space="preserve"> in </w:t>
      </w:r>
      <w:r w:rsidRPr="006F032C">
        <w:rPr>
          <w:rFonts w:eastAsiaTheme="minorEastAsia"/>
          <w:smallCaps/>
          <w:spacing w:val="-5"/>
          <w:sz w:val="18"/>
          <w:szCs w:val="18"/>
          <w:lang w:val="en-US"/>
        </w:rPr>
        <w:t>M. Magatti</w:t>
      </w:r>
      <w:r w:rsidRPr="006F032C">
        <w:rPr>
          <w:rFonts w:eastAsiaTheme="minorEastAsia"/>
          <w:spacing w:val="-5"/>
          <w:sz w:val="18"/>
          <w:szCs w:val="18"/>
          <w:lang w:val="en-US"/>
        </w:rPr>
        <w:t xml:space="preserve"> (a cura di), </w:t>
      </w:r>
      <w:r w:rsidRPr="006F032C">
        <w:rPr>
          <w:rFonts w:eastAsiaTheme="minorEastAsia"/>
          <w:i/>
          <w:iCs/>
          <w:spacing w:val="-5"/>
          <w:sz w:val="18"/>
          <w:szCs w:val="18"/>
          <w:lang w:val="en-US"/>
        </w:rPr>
        <w:t>Social Generativity. A relational paradigm for social innovation</w:t>
      </w:r>
      <w:r w:rsidRPr="006F032C">
        <w:rPr>
          <w:rFonts w:eastAsiaTheme="minorEastAsia"/>
          <w:i/>
          <w:spacing w:val="-5"/>
          <w:sz w:val="18"/>
          <w:szCs w:val="18"/>
          <w:lang w:val="en-US"/>
        </w:rPr>
        <w:t>,</w:t>
      </w:r>
      <w:r w:rsidRPr="006F032C">
        <w:rPr>
          <w:rFonts w:eastAsiaTheme="minorEastAsia"/>
          <w:spacing w:val="-5"/>
          <w:sz w:val="18"/>
          <w:szCs w:val="18"/>
          <w:lang w:val="en-US"/>
        </w:rPr>
        <w:t xml:space="preserve"> </w:t>
      </w:r>
      <w:proofErr w:type="spellStart"/>
      <w:r w:rsidRPr="006F032C">
        <w:rPr>
          <w:rFonts w:eastAsiaTheme="minorEastAsia"/>
          <w:spacing w:val="-5"/>
          <w:sz w:val="18"/>
          <w:szCs w:val="18"/>
          <w:lang w:val="en-US"/>
        </w:rPr>
        <w:t>Routledge</w:t>
      </w:r>
      <w:proofErr w:type="spellEnd"/>
      <w:r w:rsidRPr="006F032C">
        <w:rPr>
          <w:rFonts w:eastAsiaTheme="minorEastAsia"/>
          <w:spacing w:val="-5"/>
          <w:sz w:val="18"/>
          <w:szCs w:val="18"/>
          <w:lang w:val="en-US"/>
        </w:rPr>
        <w:t>, Abingdon, 2017.</w:t>
      </w:r>
      <w:r w:rsidR="006F032C" w:rsidRPr="006F032C">
        <w:rPr>
          <w:i/>
          <w:sz w:val="16"/>
          <w:szCs w:val="16"/>
          <w:lang w:val="en-US"/>
        </w:rPr>
        <w:t xml:space="preserve"> </w:t>
      </w:r>
      <w:r w:rsidR="006F032C" w:rsidRPr="006F032C">
        <w:rPr>
          <w:i/>
          <w:sz w:val="16"/>
          <w:szCs w:val="16"/>
        </w:rPr>
        <w:t>Acquista da VP</w:t>
      </w:r>
    </w:p>
    <w:p w14:paraId="2CB7A28F" w14:textId="5A3BD31E" w:rsidR="00551A11" w:rsidRPr="006F032C" w:rsidRDefault="00551A11" w:rsidP="006F032C">
      <w:r w:rsidRPr="006F032C">
        <w:rPr>
          <w:rFonts w:eastAsiaTheme="minorEastAsia"/>
          <w:smallCaps/>
          <w:spacing w:val="-5"/>
          <w:sz w:val="18"/>
          <w:szCs w:val="18"/>
        </w:rPr>
        <w:t xml:space="preserve">B. </w:t>
      </w:r>
      <w:proofErr w:type="spellStart"/>
      <w:r w:rsidRPr="006F032C">
        <w:rPr>
          <w:rFonts w:eastAsiaTheme="minorEastAsia"/>
          <w:smallCaps/>
          <w:spacing w:val="-5"/>
          <w:sz w:val="18"/>
          <w:szCs w:val="18"/>
        </w:rPr>
        <w:t>Vidaillet</w:t>
      </w:r>
      <w:proofErr w:type="spellEnd"/>
      <w:r w:rsidRPr="006F032C">
        <w:rPr>
          <w:rFonts w:eastAsiaTheme="minorEastAsia"/>
          <w:smallCaps/>
          <w:spacing w:val="-5"/>
          <w:sz w:val="18"/>
          <w:szCs w:val="18"/>
        </w:rPr>
        <w:t>,</w:t>
      </w:r>
      <w:r w:rsidRPr="006F032C">
        <w:rPr>
          <w:rFonts w:eastAsiaTheme="minorEastAsia"/>
          <w:i/>
          <w:spacing w:val="-5"/>
          <w:sz w:val="18"/>
          <w:szCs w:val="18"/>
        </w:rPr>
        <w:t xml:space="preserve"> </w:t>
      </w:r>
      <w:r w:rsidRPr="006F032C">
        <w:rPr>
          <w:rFonts w:eastAsiaTheme="minorEastAsia"/>
          <w:i/>
          <w:iCs/>
          <w:spacing w:val="-5"/>
          <w:sz w:val="18"/>
          <w:szCs w:val="18"/>
        </w:rPr>
        <w:t>Valutatemi! Il fascino discreto della meritocrazia</w:t>
      </w:r>
      <w:r w:rsidRPr="006F032C">
        <w:rPr>
          <w:rFonts w:eastAsiaTheme="minorEastAsia"/>
          <w:i/>
          <w:spacing w:val="-5"/>
          <w:sz w:val="18"/>
          <w:szCs w:val="18"/>
        </w:rPr>
        <w:t>,</w:t>
      </w:r>
      <w:r w:rsidRPr="006F032C">
        <w:rPr>
          <w:rFonts w:eastAsiaTheme="minorEastAsia"/>
          <w:spacing w:val="-5"/>
          <w:sz w:val="18"/>
          <w:szCs w:val="18"/>
        </w:rPr>
        <w:t xml:space="preserve"> NovaLogos, 2018.</w:t>
      </w:r>
      <w:r w:rsidR="00D315A7" w:rsidRPr="000F7CFD">
        <w:rPr>
          <w:spacing w:val="-5"/>
        </w:rPr>
        <w:t xml:space="preserve"> </w:t>
      </w:r>
      <w:hyperlink r:id="rId12" w:history="1">
        <w:r w:rsidR="006F032C" w:rsidRPr="006F032C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B9498E9" w14:textId="77777777" w:rsidR="0071622F" w:rsidRDefault="0071622F" w:rsidP="0071622F">
      <w:pPr>
        <w:spacing w:before="240" w:after="120" w:line="220" w:lineRule="exact"/>
        <w:rPr>
          <w:rFonts w:eastAsia="NanumGothic"/>
          <w:b/>
          <w:i/>
          <w:sz w:val="18"/>
        </w:rPr>
      </w:pPr>
      <w:r>
        <w:rPr>
          <w:rFonts w:eastAsia="NanumGothic"/>
          <w:b/>
          <w:i/>
          <w:sz w:val="18"/>
        </w:rPr>
        <w:t>DIDATTICA DEL CORSO</w:t>
      </w:r>
    </w:p>
    <w:p w14:paraId="2B59E35B" w14:textId="77777777" w:rsidR="003B150B" w:rsidRPr="00605229" w:rsidRDefault="003B150B" w:rsidP="003B150B">
      <w:pPr>
        <w:pStyle w:val="Testo2"/>
        <w:rPr>
          <w:rFonts w:eastAsia="NanumGothic"/>
        </w:rPr>
      </w:pPr>
      <w:r w:rsidRPr="00605229">
        <w:rPr>
          <w:rFonts w:eastAsia="NanumGothic"/>
        </w:rPr>
        <w:t>Entrambi i moduli utilizzeranno, oltre alla didattica in aula, specifici strumenti e metodologie per l’apprendimento: interventi di professionisti esperti, le</w:t>
      </w:r>
      <w:r>
        <w:rPr>
          <w:rFonts w:eastAsia="NanumGothic"/>
        </w:rPr>
        <w:t xml:space="preserve">tture, materiali e strumenti di </w:t>
      </w:r>
      <w:r w:rsidRPr="00605229">
        <w:rPr>
          <w:rFonts w:eastAsia="NanumGothic"/>
        </w:rPr>
        <w:t>valutazione, video, casi, presentazioni in piccoli gruppi e interviste.</w:t>
      </w:r>
    </w:p>
    <w:p w14:paraId="3BD01508" w14:textId="77777777" w:rsidR="0071622F" w:rsidRDefault="0071622F" w:rsidP="0071622F">
      <w:pPr>
        <w:spacing w:before="240" w:after="120" w:line="220" w:lineRule="exact"/>
        <w:rPr>
          <w:rFonts w:eastAsia="NanumGothic"/>
          <w:b/>
          <w:i/>
          <w:sz w:val="18"/>
        </w:rPr>
      </w:pPr>
      <w:r>
        <w:rPr>
          <w:rFonts w:eastAsia="NanumGothic"/>
          <w:b/>
          <w:i/>
          <w:sz w:val="18"/>
        </w:rPr>
        <w:t>METODO E CRITERI DI VALUTAZIONE</w:t>
      </w:r>
    </w:p>
    <w:p w14:paraId="4C20CEA9" w14:textId="77777777" w:rsidR="003B150B" w:rsidRPr="00605229" w:rsidRDefault="003B150B" w:rsidP="003B150B">
      <w:pPr>
        <w:pStyle w:val="Testo2"/>
        <w:rPr>
          <w:rFonts w:eastAsia="NanumGothic"/>
        </w:rPr>
      </w:pPr>
      <w:r w:rsidRPr="00605229">
        <w:rPr>
          <w:rFonts w:eastAsia="NanumGothic"/>
        </w:rPr>
        <w:t>L’esame è orale.</w:t>
      </w:r>
    </w:p>
    <w:p w14:paraId="21A4FF1D" w14:textId="77777777" w:rsidR="003B150B" w:rsidRPr="00605229" w:rsidRDefault="003B150B" w:rsidP="003B150B">
      <w:pPr>
        <w:pStyle w:val="Testo2"/>
        <w:rPr>
          <w:rFonts w:eastAsia="NanumGothic"/>
        </w:rPr>
      </w:pPr>
      <w:r>
        <w:rPr>
          <w:rFonts w:eastAsia="NanumGothic"/>
        </w:rPr>
        <w:t xml:space="preserve">Per il percorso basato </w:t>
      </w:r>
      <w:r w:rsidRPr="00FD2FA3">
        <w:rPr>
          <w:rFonts w:eastAsia="NanumGothic"/>
        </w:rPr>
        <w:t>sui contenuti delle lezioni</w:t>
      </w:r>
      <w:r>
        <w:rPr>
          <w:rFonts w:eastAsia="NanumGothic"/>
        </w:rPr>
        <w:t>, g</w:t>
      </w:r>
      <w:r w:rsidRPr="00605229">
        <w:rPr>
          <w:rFonts w:eastAsia="NanumGothic"/>
        </w:rPr>
        <w:t>li studenti vengono valutati per il primo modulo attraverso un lavoro di gruppo che prevede l’approfondimento e la presentazione in aula, in lingua inglese, di un</w:t>
      </w:r>
      <w:r>
        <w:rPr>
          <w:rFonts w:eastAsia="NanumGothic"/>
        </w:rPr>
        <w:t xml:space="preserve"> </w:t>
      </w:r>
      <w:r w:rsidRPr="00605229">
        <w:rPr>
          <w:rFonts w:eastAsia="NanumGothic"/>
        </w:rPr>
        <w:t>tema specifico e l’esame orale, in italiano, svolto dai due docenti. Questo esame prevede</w:t>
      </w:r>
      <w:r>
        <w:rPr>
          <w:rFonts w:eastAsia="NanumGothic"/>
        </w:rPr>
        <w:t xml:space="preserve"> </w:t>
      </w:r>
      <w:r w:rsidRPr="00605229">
        <w:rPr>
          <w:rFonts w:eastAsia="NanumGothic"/>
        </w:rPr>
        <w:t>domande da parte dei docenti che valutano le capacità di ragionamento e rigore analitico sui temi oggetto del corso, nonché la proprietà di linguaggio e le abilità comunicative.</w:t>
      </w:r>
      <w:r>
        <w:rPr>
          <w:rFonts w:eastAsia="NanumGothic"/>
        </w:rPr>
        <w:t xml:space="preserve"> </w:t>
      </w:r>
      <w:r w:rsidRPr="00605229">
        <w:rPr>
          <w:rFonts w:eastAsia="NanumGothic"/>
        </w:rPr>
        <w:t>Per il secondo modulo gli studenti saranno valutati attraverso un esame orale relativo alla bibliografia indicata all'inizio del corso.</w:t>
      </w:r>
    </w:p>
    <w:p w14:paraId="51DBCD95" w14:textId="0FAF298D" w:rsidR="003B150B" w:rsidRDefault="003B150B" w:rsidP="003B150B">
      <w:pPr>
        <w:pStyle w:val="Testo2"/>
        <w:rPr>
          <w:rFonts w:eastAsia="NanumGothic"/>
        </w:rPr>
      </w:pPr>
      <w:r w:rsidRPr="00FD2FA3">
        <w:rPr>
          <w:rFonts w:eastAsia="NanumGothic"/>
        </w:rPr>
        <w:t>Per il percorso basato sui testi, gli studenti vengono valutati attraverso un esame orale svolto, in italiano, dai due docenti che valutano, oltre alle conoscenze, le capacità di ragionamento e rigore analitico sui temi oggetto del corso, nonché la proprietà di linguaggio e le abilità comunicative. Prevede delle domande relative ai testi indicati nella bibliografia relativa al secondo modulo e, per il primo modulo</w:t>
      </w:r>
      <w:r w:rsidR="00617239">
        <w:rPr>
          <w:rFonts w:eastAsia="NanumGothic"/>
        </w:rPr>
        <w:t xml:space="preserve"> </w:t>
      </w:r>
      <w:r w:rsidR="00792B49">
        <w:rPr>
          <w:rFonts w:eastAsia="NanumGothic"/>
        </w:rPr>
        <w:t xml:space="preserve">oltre al testo indicato in bibliografia, </w:t>
      </w:r>
      <w:r w:rsidR="00617239">
        <w:rPr>
          <w:rFonts w:eastAsia="NanumGothic"/>
        </w:rPr>
        <w:t>domande relative</w:t>
      </w:r>
      <w:r w:rsidRPr="00FD2FA3">
        <w:rPr>
          <w:rFonts w:eastAsia="NanumGothic"/>
        </w:rPr>
        <w:t xml:space="preserve"> al testo in inglese di </w:t>
      </w:r>
      <w:r>
        <w:rPr>
          <w:rFonts w:eastAsiaTheme="minorEastAsia"/>
          <w:smallCaps/>
          <w:color w:val="000000" w:themeColor="text1"/>
          <w:spacing w:val="-5"/>
          <w:sz w:val="16"/>
        </w:rPr>
        <w:t>P</w:t>
      </w:r>
      <w:r w:rsidRPr="00FD2FA3">
        <w:rPr>
          <w:rFonts w:eastAsiaTheme="minorEastAsia"/>
          <w:smallCaps/>
          <w:color w:val="000000" w:themeColor="text1"/>
          <w:spacing w:val="-5"/>
          <w:sz w:val="16"/>
        </w:rPr>
        <w:t xml:space="preserve">. </w:t>
      </w:r>
      <w:r>
        <w:rPr>
          <w:rFonts w:eastAsiaTheme="minorEastAsia"/>
          <w:smallCaps/>
          <w:color w:val="000000" w:themeColor="text1"/>
          <w:spacing w:val="-5"/>
          <w:sz w:val="16"/>
        </w:rPr>
        <w:t>Hollingworth</w:t>
      </w:r>
      <w:r w:rsidRPr="00FD2FA3">
        <w:rPr>
          <w:rFonts w:eastAsiaTheme="minorEastAsia"/>
          <w:smallCaps/>
          <w:color w:val="000000" w:themeColor="text1"/>
          <w:spacing w:val="-5"/>
          <w:sz w:val="16"/>
        </w:rPr>
        <w:t>,</w:t>
      </w:r>
      <w:r w:rsidRPr="00FD2FA3">
        <w:rPr>
          <w:rFonts w:eastAsia="NanumGothic"/>
        </w:rPr>
        <w:t xml:space="preserve"> </w:t>
      </w:r>
      <w:r>
        <w:rPr>
          <w:rFonts w:eastAsia="NanumGothic"/>
          <w:i/>
        </w:rPr>
        <w:t xml:space="preserve">The Light and Fast Organization. </w:t>
      </w:r>
      <w:r>
        <w:rPr>
          <w:rFonts w:eastAsia="NanumGothic"/>
          <w:i/>
          <w:noProof w:val="0"/>
        </w:rPr>
        <w:t>A New Way of Dealing with Uncertainty</w:t>
      </w:r>
      <w:r w:rsidRPr="00FD2FA3">
        <w:rPr>
          <w:rFonts w:eastAsia="NanumGothic"/>
        </w:rPr>
        <w:t xml:space="preserve">, Ed. </w:t>
      </w:r>
      <w:r>
        <w:rPr>
          <w:rFonts w:eastAsia="NanumGothic"/>
        </w:rPr>
        <w:t>Wiley</w:t>
      </w:r>
      <w:r w:rsidRPr="00FD2FA3">
        <w:rPr>
          <w:rFonts w:eastAsia="NanumGothic"/>
        </w:rPr>
        <w:t>.</w:t>
      </w:r>
    </w:p>
    <w:p w14:paraId="786AA2FE" w14:textId="77777777" w:rsidR="003B150B" w:rsidRDefault="003B150B" w:rsidP="003B150B">
      <w:pPr>
        <w:pStyle w:val="Testo2"/>
        <w:rPr>
          <w:szCs w:val="18"/>
        </w:rPr>
      </w:pPr>
      <w:r w:rsidRPr="005248B9">
        <w:rPr>
          <w:szCs w:val="18"/>
        </w:rPr>
        <w:t xml:space="preserve">Il voto finale è unico </w:t>
      </w:r>
      <w:r>
        <w:rPr>
          <w:szCs w:val="18"/>
        </w:rPr>
        <w:t>ed è costituito dalla media delle due valutazioni ottenute in  riferimento ai due moduli del corso.</w:t>
      </w:r>
    </w:p>
    <w:p w14:paraId="2DFBF09F" w14:textId="77777777" w:rsidR="003B150B" w:rsidRPr="00FF451D" w:rsidRDefault="003B150B" w:rsidP="003B150B">
      <w:pPr>
        <w:pStyle w:val="Testo2"/>
        <w:rPr>
          <w:szCs w:val="18"/>
        </w:rPr>
      </w:pPr>
      <w:r>
        <w:rPr>
          <w:szCs w:val="18"/>
        </w:rPr>
        <w:t>Il voto di ciascun modulo, espresso in trentesimi, valuterà conoscenze e capacità di sopra indicate secondo i seguenti range: - conoscenze e capacità incomplete o insufficienti: inferiore a 18; - conoscenze e capacità sufficienti ma poco approfondite: 18-22; conoscenze e capacità buone: 23-26; conoscenze e capacità ottime: 27-30.</w:t>
      </w:r>
    </w:p>
    <w:p w14:paraId="5B507A08" w14:textId="77777777" w:rsidR="0071622F" w:rsidRDefault="0071622F" w:rsidP="0071622F">
      <w:pPr>
        <w:spacing w:before="240" w:after="120" w:line="240" w:lineRule="exact"/>
        <w:rPr>
          <w:rFonts w:eastAsia="NanumGothic"/>
          <w:b/>
          <w:i/>
          <w:sz w:val="18"/>
        </w:rPr>
      </w:pPr>
      <w:r>
        <w:rPr>
          <w:rFonts w:eastAsia="NanumGothic"/>
          <w:b/>
          <w:i/>
          <w:sz w:val="18"/>
        </w:rPr>
        <w:t>AVVERTENZE E PREREQUISITI</w:t>
      </w:r>
    </w:p>
    <w:p w14:paraId="2D82AB90" w14:textId="77777777" w:rsidR="003B150B" w:rsidRDefault="003B150B" w:rsidP="003B150B">
      <w:pPr>
        <w:pStyle w:val="Testo2"/>
        <w:rPr>
          <w:rFonts w:eastAsia="NanumGothic"/>
        </w:rPr>
      </w:pPr>
      <w:r w:rsidRPr="00605229">
        <w:rPr>
          <w:rFonts w:eastAsia="NanumGothic"/>
        </w:rPr>
        <w:lastRenderedPageBreak/>
        <w:t>L’insegnamento non necessita di prerequisiti relativi ai co</w:t>
      </w:r>
      <w:r>
        <w:rPr>
          <w:rFonts w:eastAsia="NanumGothic"/>
        </w:rPr>
        <w:t xml:space="preserve">ntenuti. Si presuppone comunque </w:t>
      </w:r>
      <w:r w:rsidRPr="00605229">
        <w:rPr>
          <w:rFonts w:eastAsia="NanumGothic"/>
        </w:rPr>
        <w:t>interesse e curiosità intellettuale per le tematiche dell’assessment, dello sviluppo nei contesti organizzativi e, più in generale, per l</w:t>
      </w:r>
      <w:r>
        <w:rPr>
          <w:rFonts w:eastAsia="NanumGothic"/>
        </w:rPr>
        <w:t>a</w:t>
      </w:r>
      <w:r w:rsidRPr="00605229">
        <w:rPr>
          <w:rFonts w:eastAsia="NanumGothic"/>
        </w:rPr>
        <w:t xml:space="preserve"> gestione e sviluppo delle risorse umane in</w:t>
      </w:r>
      <w:r>
        <w:rPr>
          <w:rFonts w:eastAsia="NanumGothic"/>
        </w:rPr>
        <w:t xml:space="preserve"> </w:t>
      </w:r>
      <w:r w:rsidRPr="00605229">
        <w:rPr>
          <w:rFonts w:eastAsia="NanumGothic"/>
        </w:rPr>
        <w:t>azienda.</w:t>
      </w:r>
    </w:p>
    <w:p w14:paraId="08FC7D97" w14:textId="77777777" w:rsidR="003B150B" w:rsidRDefault="003B150B" w:rsidP="003B150B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96AB5B0" w14:textId="77777777" w:rsidR="003B150B" w:rsidRPr="0040330D" w:rsidRDefault="003B150B" w:rsidP="003B150B">
      <w:pPr>
        <w:pStyle w:val="Testo2"/>
        <w:spacing w:before="120"/>
        <w:rPr>
          <w:rFonts w:eastAsia="NanumGothic"/>
          <w:bCs/>
          <w:i/>
        </w:rPr>
      </w:pPr>
      <w:r w:rsidRPr="0040330D">
        <w:rPr>
          <w:rFonts w:eastAsia="NanumGothic"/>
          <w:bCs/>
          <w:i/>
        </w:rPr>
        <w:t>Orario e luogo di ricevimento</w:t>
      </w:r>
    </w:p>
    <w:p w14:paraId="08353BFF" w14:textId="62856A21" w:rsidR="0071622F" w:rsidRPr="0067282A" w:rsidRDefault="003B150B" w:rsidP="003B150B">
      <w:pPr>
        <w:pStyle w:val="Testo2"/>
        <w:rPr>
          <w:rFonts w:eastAsia="NanumGothic"/>
        </w:rPr>
      </w:pPr>
      <w:r w:rsidRPr="00605229">
        <w:rPr>
          <w:rFonts w:eastAsia="NanumGothic"/>
        </w:rPr>
        <w:t>I docenti comunicheranno a lezione orario e luog</w:t>
      </w:r>
      <w:r>
        <w:rPr>
          <w:rFonts w:eastAsia="NanumGothic"/>
        </w:rPr>
        <w:t>o di ricevimento degli studenti</w:t>
      </w:r>
      <w:r w:rsidR="0071622F" w:rsidRPr="00605229">
        <w:rPr>
          <w:rFonts w:eastAsia="NanumGothic"/>
        </w:rPr>
        <w:t>.</w:t>
      </w:r>
    </w:p>
    <w:sectPr w:rsidR="0071622F" w:rsidRPr="0067282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BB2F6" w14:textId="77777777" w:rsidR="00EA15DB" w:rsidRDefault="00EA15DB" w:rsidP="0071622F">
      <w:r>
        <w:separator/>
      </w:r>
    </w:p>
  </w:endnote>
  <w:endnote w:type="continuationSeparator" w:id="0">
    <w:p w14:paraId="04DEED40" w14:textId="77777777" w:rsidR="00EA15DB" w:rsidRDefault="00EA15DB" w:rsidP="0071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5EBD4" w14:textId="77777777" w:rsidR="00EA15DB" w:rsidRDefault="00EA15DB" w:rsidP="0071622F">
      <w:r>
        <w:separator/>
      </w:r>
    </w:p>
  </w:footnote>
  <w:footnote w:type="continuationSeparator" w:id="0">
    <w:p w14:paraId="5CC2046A" w14:textId="77777777" w:rsidR="00EA15DB" w:rsidRDefault="00EA15DB" w:rsidP="0071622F">
      <w:r>
        <w:continuationSeparator/>
      </w:r>
    </w:p>
  </w:footnote>
  <w:footnote w:id="1">
    <w:p w14:paraId="4A5B0D2C" w14:textId="77777777" w:rsidR="006F032C" w:rsidRDefault="006F032C" w:rsidP="006F032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4E8731F8" w14:textId="6D9F03D3" w:rsidR="006F032C" w:rsidRDefault="006F032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02D"/>
    <w:multiLevelType w:val="hybridMultilevel"/>
    <w:tmpl w:val="8D0A30FA"/>
    <w:lvl w:ilvl="0" w:tplc="2850ED68">
      <w:start w:val="1"/>
      <w:numFmt w:val="bullet"/>
      <w:lvlText w:val=""/>
      <w:lvlJc w:val="left"/>
      <w:pPr>
        <w:ind w:left="800" w:hanging="400"/>
        <w:jc w:val="both"/>
      </w:pPr>
      <w:rPr>
        <w:rFonts w:ascii="Symbol" w:hAnsi="Symbol" w:hint="default"/>
        <w:b w:val="0"/>
        <w:w w:val="100"/>
        <w:sz w:val="22"/>
        <w:szCs w:val="22"/>
        <w:u w:val="none"/>
        <w:shd w:val="clear" w:color="auto" w:fill="auto"/>
      </w:rPr>
    </w:lvl>
    <w:lvl w:ilvl="1" w:tplc="5E1EF850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C07E5788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8623D64">
      <w:start w:val="1"/>
      <w:numFmt w:val="bullet"/>
      <w:lvlText w:val="n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91E4791A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56A2E7A2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AB42400">
      <w:start w:val="1"/>
      <w:numFmt w:val="bullet"/>
      <w:lvlText w:val="n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85F0D9B6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DA00E9A4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6AA66DA"/>
    <w:multiLevelType w:val="hybridMultilevel"/>
    <w:tmpl w:val="FE280E76"/>
    <w:lvl w:ilvl="0" w:tplc="17A44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49D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1AF6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B6D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5A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E0B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6CF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60B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26D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944A3"/>
    <w:multiLevelType w:val="hybridMultilevel"/>
    <w:tmpl w:val="BE683478"/>
    <w:lvl w:ilvl="0" w:tplc="2850ED68">
      <w:start w:val="1"/>
      <w:numFmt w:val="bullet"/>
      <w:lvlText w:val=""/>
      <w:lvlJc w:val="left"/>
      <w:pPr>
        <w:ind w:left="800" w:hanging="400"/>
        <w:jc w:val="both"/>
      </w:pPr>
      <w:rPr>
        <w:rFonts w:ascii="Symbol" w:hAnsi="Symbol" w:hint="default"/>
        <w:b w:val="0"/>
        <w:w w:val="100"/>
        <w:sz w:val="22"/>
        <w:szCs w:val="22"/>
        <w:u w:val="none"/>
        <w:shd w:val="clear" w:color="auto" w:fill="auto"/>
      </w:rPr>
    </w:lvl>
    <w:lvl w:ilvl="1" w:tplc="5E1EF850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C07E5788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8623D64">
      <w:start w:val="1"/>
      <w:numFmt w:val="bullet"/>
      <w:lvlText w:val="n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91E4791A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56A2E7A2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AB42400">
      <w:start w:val="1"/>
      <w:numFmt w:val="bullet"/>
      <w:lvlText w:val="n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85F0D9B6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DA00E9A4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2F000000"/>
    <w:multiLevelType w:val="hybridMultilevel"/>
    <w:tmpl w:val="35E3E160"/>
    <w:lvl w:ilvl="0" w:tplc="7A3016C2">
      <w:start w:val="1"/>
      <w:numFmt w:val="bullet"/>
      <w:lvlText w:val="n"/>
      <w:lvlJc w:val="left"/>
      <w:pPr>
        <w:ind w:left="800" w:hanging="400"/>
        <w:jc w:val="both"/>
      </w:pPr>
      <w:rPr>
        <w:rFonts w:ascii="Wingdings" w:eastAsia="Wingdings" w:hAnsi="Wingdings"/>
        <w:b w:val="0"/>
        <w:w w:val="100"/>
        <w:sz w:val="22"/>
        <w:szCs w:val="22"/>
        <w:u w:val="none"/>
        <w:shd w:val="clear" w:color="auto" w:fill="auto"/>
      </w:rPr>
    </w:lvl>
    <w:lvl w:ilvl="1" w:tplc="5E1EF850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C07E5788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8623D64">
      <w:start w:val="1"/>
      <w:numFmt w:val="bullet"/>
      <w:lvlText w:val="n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91E4791A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56A2E7A2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AB42400">
      <w:start w:val="1"/>
      <w:numFmt w:val="bullet"/>
      <w:lvlText w:val="n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85F0D9B6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DA00E9A4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5ECC0D01"/>
    <w:multiLevelType w:val="hybridMultilevel"/>
    <w:tmpl w:val="FEEA039A"/>
    <w:lvl w:ilvl="0" w:tplc="A4CEDAE4">
      <w:numFmt w:val="bullet"/>
      <w:lvlText w:val="–"/>
      <w:lvlJc w:val="left"/>
      <w:pPr>
        <w:ind w:left="720" w:hanging="360"/>
      </w:pPr>
      <w:rPr>
        <w:rFonts w:ascii="Times New Roman" w:eastAsia="NanumGothic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11159"/>
    <w:multiLevelType w:val="hybridMultilevel"/>
    <w:tmpl w:val="85AC989C"/>
    <w:lvl w:ilvl="0" w:tplc="3368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040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AE34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0A8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E14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580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24C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D25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A06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0C5C04"/>
    <w:multiLevelType w:val="hybridMultilevel"/>
    <w:tmpl w:val="7F88210C"/>
    <w:lvl w:ilvl="0" w:tplc="0C2C3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C2A7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0CC0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2C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CB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D2D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B65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FA87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40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69"/>
    <w:rsid w:val="000F7CFD"/>
    <w:rsid w:val="00120C52"/>
    <w:rsid w:val="00187B99"/>
    <w:rsid w:val="002014DD"/>
    <w:rsid w:val="002A2924"/>
    <w:rsid w:val="002D5E17"/>
    <w:rsid w:val="003B150B"/>
    <w:rsid w:val="003B684F"/>
    <w:rsid w:val="0040330D"/>
    <w:rsid w:val="00433BE7"/>
    <w:rsid w:val="004B5F1A"/>
    <w:rsid w:val="004D1217"/>
    <w:rsid w:val="004D6008"/>
    <w:rsid w:val="005425EB"/>
    <w:rsid w:val="00551A11"/>
    <w:rsid w:val="00617239"/>
    <w:rsid w:val="00630969"/>
    <w:rsid w:val="00636823"/>
    <w:rsid w:val="00640794"/>
    <w:rsid w:val="0067033F"/>
    <w:rsid w:val="0067282A"/>
    <w:rsid w:val="006C23C3"/>
    <w:rsid w:val="006F032C"/>
    <w:rsid w:val="006F1772"/>
    <w:rsid w:val="0071622F"/>
    <w:rsid w:val="00752DD9"/>
    <w:rsid w:val="00792B49"/>
    <w:rsid w:val="008942E7"/>
    <w:rsid w:val="00897CC1"/>
    <w:rsid w:val="008A1204"/>
    <w:rsid w:val="00900CCA"/>
    <w:rsid w:val="00917777"/>
    <w:rsid w:val="00924B77"/>
    <w:rsid w:val="00940DA2"/>
    <w:rsid w:val="00986206"/>
    <w:rsid w:val="009E055C"/>
    <w:rsid w:val="00A74F6F"/>
    <w:rsid w:val="00AD7557"/>
    <w:rsid w:val="00B23ECD"/>
    <w:rsid w:val="00B442C1"/>
    <w:rsid w:val="00B50C5D"/>
    <w:rsid w:val="00B51253"/>
    <w:rsid w:val="00B525CC"/>
    <w:rsid w:val="00C00FC9"/>
    <w:rsid w:val="00CB63A9"/>
    <w:rsid w:val="00D315A7"/>
    <w:rsid w:val="00D32CCD"/>
    <w:rsid w:val="00D404F2"/>
    <w:rsid w:val="00E607E6"/>
    <w:rsid w:val="00E86ADD"/>
    <w:rsid w:val="00EA15DB"/>
    <w:rsid w:val="00F63589"/>
    <w:rsid w:val="00FD0402"/>
    <w:rsid w:val="00F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57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7282A"/>
    <w:pPr>
      <w:jc w:val="both"/>
    </w:pPr>
    <w:rPr>
      <w:sz w:val="22"/>
      <w:szCs w:val="22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67282A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282A"/>
    <w:pPr>
      <w:ind w:left="720"/>
      <w:contextualSpacing/>
      <w:jc w:val="left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71622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1622F"/>
  </w:style>
  <w:style w:type="character" w:styleId="Rimandonotaapidipagina">
    <w:name w:val="footnote reference"/>
    <w:basedOn w:val="Carpredefinitoparagrafo"/>
    <w:rsid w:val="0071622F"/>
    <w:rPr>
      <w:vertAlign w:val="superscript"/>
    </w:rPr>
  </w:style>
  <w:style w:type="character" w:styleId="Collegamentoipertestuale">
    <w:name w:val="Hyperlink"/>
    <w:basedOn w:val="Carpredefinitoparagrafo"/>
    <w:rsid w:val="0071622F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rsid w:val="0091777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177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1777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177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17777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9177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177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7282A"/>
    <w:pPr>
      <w:jc w:val="both"/>
    </w:pPr>
    <w:rPr>
      <w:sz w:val="22"/>
      <w:szCs w:val="22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67282A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282A"/>
    <w:pPr>
      <w:ind w:left="720"/>
      <w:contextualSpacing/>
      <w:jc w:val="left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71622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1622F"/>
  </w:style>
  <w:style w:type="character" w:styleId="Rimandonotaapidipagina">
    <w:name w:val="footnote reference"/>
    <w:basedOn w:val="Carpredefinitoparagrafo"/>
    <w:rsid w:val="0071622F"/>
    <w:rPr>
      <w:vertAlign w:val="superscript"/>
    </w:rPr>
  </w:style>
  <w:style w:type="character" w:styleId="Collegamentoipertestuale">
    <w:name w:val="Hyperlink"/>
    <w:basedOn w:val="Carpredefinitoparagrafo"/>
    <w:rsid w:val="0071622F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rsid w:val="0091777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177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1777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177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17777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9177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17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benedicte-vidaillet/valutatemi-il-fascino-discreto-della-meritocrazia-9788897339809-67407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fabio-cecchinato/oltre-il-neomanagement-verso-una-gestione-delle-persone-sostenibile-e-generativa-9788868962593-672928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boldizzoni-daniele-quaratino-luca/risorse-umane-9788815252227-21552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henry-l-tosi-massimo-pilati/comportamento-organizzativo-individui-relazioni-organizzazione-management-9788823822306-253987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596DE-1413-4EB2-8E3B-96FED7DE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10</TotalTime>
  <Pages>5</Pages>
  <Words>1227</Words>
  <Characters>8204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6</cp:revision>
  <cp:lastPrinted>2003-03-27T10:42:00Z</cp:lastPrinted>
  <dcterms:created xsi:type="dcterms:W3CDTF">2022-05-16T14:33:00Z</dcterms:created>
  <dcterms:modified xsi:type="dcterms:W3CDTF">2022-07-25T09:26:00Z</dcterms:modified>
</cp:coreProperties>
</file>