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18F6" w14:textId="77777777" w:rsidR="00907F2B" w:rsidRPr="00907F2B" w:rsidRDefault="00907F2B" w:rsidP="00907F2B">
      <w:pPr>
        <w:pStyle w:val="Titolo1"/>
      </w:pPr>
      <w:r w:rsidRPr="00907F2B">
        <w:t>Politiche estere comparate</w:t>
      </w:r>
    </w:p>
    <w:p w14:paraId="64065701" w14:textId="77777777" w:rsidR="00907F2B" w:rsidRPr="00907F2B" w:rsidRDefault="00907F2B" w:rsidP="00907F2B">
      <w:pPr>
        <w:pStyle w:val="Titolo2"/>
      </w:pPr>
      <w:r w:rsidRPr="00907F2B">
        <w:t>Prof. Stefano Procacci</w:t>
      </w:r>
    </w:p>
    <w:p w14:paraId="62449FB2" w14:textId="77777777" w:rsidR="002D5E17" w:rsidRDefault="00907F2B" w:rsidP="00907F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DAF63CD" w14:textId="312ED452" w:rsidR="00907F2B" w:rsidRDefault="00907F2B" w:rsidP="00907F2B">
      <w:r>
        <w:t>Il corso si propone di offrire gli strumenti per comprendere l’esercizio della politica estera nelle relazioni internazionali contemporanee, concentrandosi soprattutto sui fattori che intervengono nella sua formulazione</w:t>
      </w:r>
      <w:r w:rsidR="00AC45D4">
        <w:t>. Lo studio si basa sul</w:t>
      </w:r>
      <w:r>
        <w:t>l’illustrazione comparativa delle politiche estere dei principali protagonisti della politica mondiale.</w:t>
      </w:r>
    </w:p>
    <w:p w14:paraId="4C949E24" w14:textId="77777777" w:rsidR="00907F2B" w:rsidRDefault="00907F2B" w:rsidP="00907F2B">
      <w:pPr>
        <w:spacing w:before="120" w:after="120"/>
      </w:pPr>
      <w:r>
        <w:t>Al termine dell'insegnamento, lo studente sarà in grado di: individuare e descrivere le principali fasi di elaborazione e conduzione della politica estera; conoscere, distinguere e classificare gli strumenti di utilizzo più diffuso da parte degli attori politici; comprendere le peculiarità dei diversi regimi e culture politiche nell'esercizio della politica estera; valutare criticamente le implicazioni etiche e normative dell'azione di politica estera.</w:t>
      </w:r>
    </w:p>
    <w:p w14:paraId="7C83AFDA" w14:textId="12954E20" w:rsidR="00907F2B" w:rsidRDefault="00907F2B" w:rsidP="00907F2B">
      <w:r>
        <w:t xml:space="preserve">Al termine dell'insegnamento, gli studenti avranno sviluppato la capacità di: </w:t>
      </w:r>
      <w:r w:rsidR="003311D8">
        <w:t>comprendere, analizzare</w:t>
      </w:r>
      <w:r>
        <w:t xml:space="preserve"> e commentare i documenti ufficiali prodotti da governi e organizzazioni internazionali nell'ambito della loro attività diplomatica; riconoscere e analizzare i diversi meccanismi decisionali e gli attori rilevanti nel processo di </w:t>
      </w:r>
      <w:r>
        <w:rPr>
          <w:i/>
          <w:iCs/>
        </w:rPr>
        <w:t xml:space="preserve">policy-making; </w:t>
      </w:r>
      <w:r>
        <w:t xml:space="preserve">riconoscere gli obiettivi specifici e i canali di </w:t>
      </w:r>
      <w:r w:rsidR="00AC45D4">
        <w:t xml:space="preserve">negoziato </w:t>
      </w:r>
      <w:r>
        <w:t>e compromesso tra gli attori.</w:t>
      </w:r>
    </w:p>
    <w:p w14:paraId="62FE4A29" w14:textId="77777777" w:rsidR="00907F2B" w:rsidRDefault="00907F2B" w:rsidP="00907F2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6FEC6C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Analisi della politica estera: definizione e obiettivi di ricerca.</w:t>
      </w:r>
    </w:p>
    <w:p w14:paraId="70CDC9CB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Le teorie della politica estera: scuole e paradigmi.</w:t>
      </w:r>
    </w:p>
    <w:p w14:paraId="21C3536E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Politica estera e sistema internazionale: il vincolo dell’interesse e dell’anarchia.</w:t>
      </w:r>
    </w:p>
    <w:p w14:paraId="5D645EFA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Politica interna e politica estera. Gli obiettivi e gli strumenti della politica estera.</w:t>
      </w:r>
    </w:p>
    <w:p w14:paraId="6E9C899D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Storia, tradizioni diplomatiche e cultura delle classi dirigenti.</w:t>
      </w:r>
    </w:p>
    <w:p w14:paraId="0658425A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La politica estera degli Stati democratici. Identità, nazionalismo e politica estera.</w:t>
      </w:r>
    </w:p>
    <w:p w14:paraId="02F622FB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Globalizzazione e opinione pubblica internazionale.</w:t>
      </w:r>
    </w:p>
    <w:p w14:paraId="37A8B813" w14:textId="77777777" w:rsidR="00907F2B" w:rsidRDefault="00907F2B" w:rsidP="002D6C85">
      <w:pPr>
        <w:pStyle w:val="Standard"/>
        <w:numPr>
          <w:ilvl w:val="0"/>
          <w:numId w:val="1"/>
        </w:numPr>
        <w:spacing w:line="220" w:lineRule="exact"/>
        <w:ind w:left="284" w:hanging="284"/>
      </w:pPr>
      <w:r>
        <w:t>La politica estera dei principali protagonisti del sistema internazionale contemporaneo: un’analisi comparativa.</w:t>
      </w:r>
    </w:p>
    <w:p w14:paraId="5EAA6FEB" w14:textId="09CCF4AD" w:rsidR="00907F2B" w:rsidRPr="00645375" w:rsidRDefault="00907F2B" w:rsidP="00645375">
      <w:pPr>
        <w:spacing w:before="240" w:after="120" w:line="240" w:lineRule="exact"/>
        <w:rPr>
          <w:b/>
          <w:i/>
          <w:sz w:val="18"/>
          <w:lang w:val="en-US"/>
        </w:rPr>
      </w:pPr>
      <w:r w:rsidRPr="00645375">
        <w:rPr>
          <w:b/>
          <w:i/>
          <w:sz w:val="18"/>
          <w:lang w:val="en-US"/>
        </w:rPr>
        <w:t>BIBLIOGRAFIA</w:t>
      </w:r>
      <w:r w:rsidR="003D3CDA">
        <w:rPr>
          <w:rStyle w:val="Rimandonotaapidipagina"/>
          <w:b/>
          <w:i/>
          <w:sz w:val="18"/>
          <w:lang w:val="en-US"/>
        </w:rPr>
        <w:footnoteReference w:id="1"/>
      </w:r>
    </w:p>
    <w:p w14:paraId="4B9471FF" w14:textId="707ED9C7" w:rsidR="00907F2B" w:rsidRPr="00645375" w:rsidRDefault="00907F2B" w:rsidP="00907F2B">
      <w:pPr>
        <w:pStyle w:val="Testo1"/>
        <w:spacing w:before="0" w:line="240" w:lineRule="atLeast"/>
        <w:rPr>
          <w:spacing w:val="-5"/>
          <w:lang w:val="en-US"/>
        </w:rPr>
      </w:pPr>
      <w:r w:rsidRPr="00907F2B">
        <w:rPr>
          <w:smallCaps/>
          <w:spacing w:val="-5"/>
          <w:sz w:val="16"/>
          <w:lang w:val="en-US"/>
        </w:rPr>
        <w:lastRenderedPageBreak/>
        <w:t xml:space="preserve">S. Smith-A. Hadfield-T. Dunne </w:t>
      </w:r>
      <w:r w:rsidRPr="00645375">
        <w:rPr>
          <w:spacing w:val="-5"/>
          <w:lang w:val="en-US"/>
        </w:rPr>
        <w:t>(eds.),</w:t>
      </w:r>
      <w:r w:rsidRPr="00907F2B">
        <w:rPr>
          <w:i/>
          <w:spacing w:val="-5"/>
          <w:lang w:val="en-US"/>
        </w:rPr>
        <w:t xml:space="preserve"> Foreign Policy: Theories, Actors, Cases</w:t>
      </w:r>
      <w:r w:rsidRPr="00907F2B">
        <w:rPr>
          <w:spacing w:val="-5"/>
          <w:lang w:val="en-US"/>
        </w:rPr>
        <w:t>, Oxford University Press, 201</w:t>
      </w:r>
      <w:r w:rsidR="00AC45D4">
        <w:rPr>
          <w:spacing w:val="-5"/>
          <w:lang w:val="en-US"/>
        </w:rPr>
        <w:t>6</w:t>
      </w:r>
      <w:r w:rsidRPr="00907F2B">
        <w:rPr>
          <w:spacing w:val="-5"/>
          <w:lang w:val="en-US"/>
        </w:rPr>
        <w:t>.</w:t>
      </w:r>
    </w:p>
    <w:p w14:paraId="18E6257F" w14:textId="77777777" w:rsidR="00907F2B" w:rsidRPr="00645375" w:rsidRDefault="00907F2B" w:rsidP="00907F2B">
      <w:pPr>
        <w:pStyle w:val="Testo1"/>
        <w:spacing w:before="0" w:line="240" w:lineRule="atLeast"/>
        <w:rPr>
          <w:spacing w:val="-5"/>
          <w:lang w:val="en-US"/>
        </w:rPr>
      </w:pPr>
      <w:r w:rsidRPr="00907F2B">
        <w:rPr>
          <w:smallCaps/>
          <w:spacing w:val="-5"/>
          <w:sz w:val="16"/>
        </w:rPr>
        <w:t>A. Panebianco,</w:t>
      </w:r>
      <w:r w:rsidRPr="00907F2B">
        <w:rPr>
          <w:i/>
          <w:spacing w:val="-5"/>
        </w:rPr>
        <w:t xml:space="preserve"> Guerrieri democratici: democrazie e politica di potenza,</w:t>
      </w:r>
      <w:r w:rsidRPr="00907F2B">
        <w:rPr>
          <w:spacing w:val="-5"/>
        </w:rPr>
        <w:t xml:space="preserve"> Il Mulino, Bologna, 1997, capp. </w:t>
      </w:r>
      <w:r w:rsidRPr="00907F2B">
        <w:rPr>
          <w:spacing w:val="-5"/>
          <w:lang w:val="en-US"/>
        </w:rPr>
        <w:t>5 e 6.</w:t>
      </w:r>
    </w:p>
    <w:p w14:paraId="50393527" w14:textId="77777777" w:rsidR="00907F2B" w:rsidRPr="00645375" w:rsidRDefault="00907F2B" w:rsidP="00907F2B">
      <w:pPr>
        <w:pStyle w:val="Testo1"/>
        <w:spacing w:before="0" w:line="240" w:lineRule="atLeast"/>
        <w:rPr>
          <w:spacing w:val="-5"/>
          <w:lang w:val="en-US"/>
        </w:rPr>
      </w:pPr>
      <w:r w:rsidRPr="00907F2B">
        <w:rPr>
          <w:smallCaps/>
          <w:spacing w:val="-5"/>
          <w:sz w:val="16"/>
          <w:lang w:val="en-US"/>
        </w:rPr>
        <w:t>T. Risse-</w:t>
      </w:r>
      <w:r w:rsidR="00645375">
        <w:rPr>
          <w:smallCaps/>
          <w:spacing w:val="-5"/>
          <w:sz w:val="16"/>
          <w:lang w:val="en-US"/>
        </w:rPr>
        <w:t>K</w:t>
      </w:r>
      <w:r w:rsidRPr="00907F2B">
        <w:rPr>
          <w:smallCaps/>
          <w:spacing w:val="-5"/>
          <w:sz w:val="16"/>
          <w:lang w:val="en-US"/>
        </w:rPr>
        <w:t>appen,</w:t>
      </w:r>
      <w:r w:rsidRPr="00907F2B">
        <w:rPr>
          <w:i/>
          <w:spacing w:val="-5"/>
          <w:lang w:val="en-US"/>
        </w:rPr>
        <w:t xml:space="preserve"> Public Opinion,</w:t>
      </w:r>
      <w:r w:rsidRPr="00907F2B">
        <w:rPr>
          <w:spacing w:val="-5"/>
          <w:lang w:val="en-US"/>
        </w:rPr>
        <w:t xml:space="preserve"> </w:t>
      </w:r>
      <w:r w:rsidRPr="00907F2B">
        <w:rPr>
          <w:i/>
          <w:spacing w:val="-5"/>
          <w:lang w:val="en-US"/>
        </w:rPr>
        <w:t>Domestic Structure, and Foreign Policy in Liberal Democracies</w:t>
      </w:r>
      <w:r w:rsidRPr="00907F2B">
        <w:rPr>
          <w:spacing w:val="-5"/>
          <w:lang w:val="en-US"/>
        </w:rPr>
        <w:t>, World Politics, 43, 4, 1991.</w:t>
      </w:r>
    </w:p>
    <w:p w14:paraId="3DB905F7" w14:textId="77777777" w:rsidR="00907F2B" w:rsidRDefault="00907F2B" w:rsidP="00907F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E26A4AD" w14:textId="77777777" w:rsidR="00907F2B" w:rsidRDefault="00907F2B" w:rsidP="00907F2B">
      <w:pPr>
        <w:pStyle w:val="Testo2"/>
      </w:pPr>
      <w:r>
        <w:t>Lezioni frontali, con prevalenza di presentazioni di casi di studio.</w:t>
      </w:r>
    </w:p>
    <w:p w14:paraId="2B8879C9" w14:textId="77777777" w:rsidR="00907F2B" w:rsidRDefault="00907F2B" w:rsidP="00907F2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3E13FC7" w14:textId="735870F8" w:rsidR="00770172" w:rsidRDefault="00907F2B" w:rsidP="00907F2B">
      <w:pPr>
        <w:pStyle w:val="Testo2"/>
      </w:pPr>
      <w:r w:rsidRPr="00907F2B">
        <w:t>La valutazione è basata su un esame scritto</w:t>
      </w:r>
      <w:r w:rsidR="00770172">
        <w:t>,</w:t>
      </w:r>
      <w:r w:rsidRPr="00907F2B">
        <w:t xml:space="preserve"> che si propone di verificare il grado di apprendimento dei contenuti della disciplina e l’acquisizione di autonome capacità analitiche da parte degli studenti. </w:t>
      </w:r>
    </w:p>
    <w:p w14:paraId="2DB4CE17" w14:textId="30FA0D69" w:rsidR="00907F2B" w:rsidRPr="00907F2B" w:rsidRDefault="00907F2B" w:rsidP="00907F2B">
      <w:pPr>
        <w:pStyle w:val="Testo2"/>
      </w:pPr>
      <w:r w:rsidRPr="00907F2B">
        <w:t>A tal fine, il compito è basato su quesiti di natura differenziata, che permettano di verificare: 1. l’apprendimento puntuale di singole nozioni; 2. la capacità di sintesi nella presentazione dei tratti essenziali un tema; 3. la riflessione approfondita e completa su un caso di studio. La valutazione di ciascuno di questi tre aspetti è affidata a una diversa domanda aperta, e prevede un punteggio da 0 a 7 nel primo caso, da 0 a 10 nel secondo, e da 0 a 13 nel terzo.</w:t>
      </w:r>
    </w:p>
    <w:p w14:paraId="0C53196E" w14:textId="77777777" w:rsidR="00907F2B" w:rsidRDefault="00907F2B" w:rsidP="00907F2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B0358F7" w14:textId="77777777" w:rsidR="00907F2B" w:rsidRDefault="00907F2B" w:rsidP="00545966">
      <w:pPr>
        <w:pStyle w:val="Testo2"/>
        <w:tabs>
          <w:tab w:val="left" w:pos="4095"/>
        </w:tabs>
      </w:pPr>
      <w:r w:rsidRPr="00907F2B">
        <w:t>L’insegnamento non necessita di prerequisiti.</w:t>
      </w:r>
    </w:p>
    <w:p w14:paraId="7A78EAEC" w14:textId="77777777" w:rsidR="00545966" w:rsidRDefault="00545966" w:rsidP="00545966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BD94EDB" w14:textId="77777777" w:rsidR="00907F2B" w:rsidRPr="00907F2B" w:rsidRDefault="00907F2B" w:rsidP="00907F2B">
      <w:pPr>
        <w:pStyle w:val="Testo2"/>
        <w:spacing w:before="120"/>
        <w:rPr>
          <w:i/>
        </w:rPr>
      </w:pPr>
      <w:r w:rsidRPr="00907F2B">
        <w:rPr>
          <w:i/>
        </w:rPr>
        <w:t>Orario e luogo di ricevimento</w:t>
      </w:r>
    </w:p>
    <w:p w14:paraId="2AB2E96C" w14:textId="77777777" w:rsidR="00F55595" w:rsidRPr="00EA7272" w:rsidRDefault="00F55595" w:rsidP="00F55595">
      <w:pPr>
        <w:pStyle w:val="Testo2"/>
      </w:pPr>
      <w:r w:rsidRPr="00EA7272">
        <w:t>Il Prof. Stefano Procacci comunicherà a lezione l’orario di ricevimento degli studenti, che avrà luogo presso l’ufficio del docente, nel Dipartimento di Scienze Politiche (Gregorianum, 2° piano).</w:t>
      </w:r>
    </w:p>
    <w:sectPr w:rsidR="00F55595" w:rsidRPr="00EA727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896A6" w14:textId="77777777" w:rsidR="003D3CDA" w:rsidRDefault="003D3CDA" w:rsidP="003D3CDA">
      <w:pPr>
        <w:spacing w:line="240" w:lineRule="auto"/>
      </w:pPr>
      <w:r>
        <w:separator/>
      </w:r>
    </w:p>
  </w:endnote>
  <w:endnote w:type="continuationSeparator" w:id="0">
    <w:p w14:paraId="516D5E5A" w14:textId="77777777" w:rsidR="003D3CDA" w:rsidRDefault="003D3CDA" w:rsidP="003D3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7B7A7" w14:textId="77777777" w:rsidR="003D3CDA" w:rsidRDefault="003D3CDA" w:rsidP="003D3CDA">
      <w:pPr>
        <w:spacing w:line="240" w:lineRule="auto"/>
      </w:pPr>
      <w:r>
        <w:separator/>
      </w:r>
    </w:p>
  </w:footnote>
  <w:footnote w:type="continuationSeparator" w:id="0">
    <w:p w14:paraId="497A5102" w14:textId="77777777" w:rsidR="003D3CDA" w:rsidRDefault="003D3CDA" w:rsidP="003D3CDA">
      <w:pPr>
        <w:spacing w:line="240" w:lineRule="auto"/>
      </w:pPr>
      <w:r>
        <w:continuationSeparator/>
      </w:r>
    </w:p>
  </w:footnote>
  <w:footnote w:id="1">
    <w:p w14:paraId="16D345D3" w14:textId="43BD4ED7" w:rsidR="003D3CDA" w:rsidRDefault="003D3C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7ED9"/>
    <w:multiLevelType w:val="multilevel"/>
    <w:tmpl w:val="1D50FA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45"/>
    <w:rsid w:val="00187B99"/>
    <w:rsid w:val="002014DD"/>
    <w:rsid w:val="002D5E17"/>
    <w:rsid w:val="002D6C85"/>
    <w:rsid w:val="003311D8"/>
    <w:rsid w:val="003D3CDA"/>
    <w:rsid w:val="004D1217"/>
    <w:rsid w:val="004D6008"/>
    <w:rsid w:val="00545966"/>
    <w:rsid w:val="00640794"/>
    <w:rsid w:val="00645375"/>
    <w:rsid w:val="006F1772"/>
    <w:rsid w:val="00770172"/>
    <w:rsid w:val="008942E7"/>
    <w:rsid w:val="008A1204"/>
    <w:rsid w:val="00900CCA"/>
    <w:rsid w:val="00907F2B"/>
    <w:rsid w:val="00924B77"/>
    <w:rsid w:val="00940DA2"/>
    <w:rsid w:val="009E055C"/>
    <w:rsid w:val="00A74F6F"/>
    <w:rsid w:val="00AC45D4"/>
    <w:rsid w:val="00AD7557"/>
    <w:rsid w:val="00AF3B14"/>
    <w:rsid w:val="00B11545"/>
    <w:rsid w:val="00B16C41"/>
    <w:rsid w:val="00B50C5D"/>
    <w:rsid w:val="00B51253"/>
    <w:rsid w:val="00B525CC"/>
    <w:rsid w:val="00D404F2"/>
    <w:rsid w:val="00E607E6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E9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907F2B"/>
    <w:pPr>
      <w:tabs>
        <w:tab w:val="left" w:pos="284"/>
      </w:tabs>
      <w:suppressAutoHyphens/>
      <w:autoSpaceDN w:val="0"/>
      <w:spacing w:line="240" w:lineRule="exact"/>
      <w:jc w:val="both"/>
      <w:textAlignment w:val="baseline"/>
    </w:pPr>
    <w:rPr>
      <w:kern w:val="3"/>
      <w:szCs w:val="24"/>
    </w:rPr>
  </w:style>
  <w:style w:type="paragraph" w:styleId="Testonotaapidipagina">
    <w:name w:val="footnote text"/>
    <w:basedOn w:val="Normale"/>
    <w:link w:val="TestonotaapidipaginaCarattere"/>
    <w:rsid w:val="003D3C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3CDA"/>
  </w:style>
  <w:style w:type="character" w:styleId="Rimandonotaapidipagina">
    <w:name w:val="footnote reference"/>
    <w:basedOn w:val="Carpredefinitoparagrafo"/>
    <w:rsid w:val="003D3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Standard">
    <w:name w:val="Standard"/>
    <w:rsid w:val="00907F2B"/>
    <w:pPr>
      <w:tabs>
        <w:tab w:val="left" w:pos="284"/>
      </w:tabs>
      <w:suppressAutoHyphens/>
      <w:autoSpaceDN w:val="0"/>
      <w:spacing w:line="240" w:lineRule="exact"/>
      <w:jc w:val="both"/>
      <w:textAlignment w:val="baseline"/>
    </w:pPr>
    <w:rPr>
      <w:kern w:val="3"/>
      <w:szCs w:val="24"/>
    </w:rPr>
  </w:style>
  <w:style w:type="paragraph" w:styleId="Testonotaapidipagina">
    <w:name w:val="footnote text"/>
    <w:basedOn w:val="Normale"/>
    <w:link w:val="TestonotaapidipaginaCarattere"/>
    <w:rsid w:val="003D3CD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3CDA"/>
  </w:style>
  <w:style w:type="character" w:styleId="Rimandonotaapidipagina">
    <w:name w:val="footnote reference"/>
    <w:basedOn w:val="Carpredefinitoparagrafo"/>
    <w:rsid w:val="003D3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9D6B0-F9D9-452E-A7BC-D43B370E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510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7</cp:revision>
  <cp:lastPrinted>2003-03-27T10:42:00Z</cp:lastPrinted>
  <dcterms:created xsi:type="dcterms:W3CDTF">2021-05-26T07:30:00Z</dcterms:created>
  <dcterms:modified xsi:type="dcterms:W3CDTF">2022-07-12T07:45:00Z</dcterms:modified>
</cp:coreProperties>
</file>