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672C" w14:textId="77777777" w:rsidR="00E53E51" w:rsidRPr="00BC4F33" w:rsidRDefault="00E53E51" w:rsidP="00BC4F33">
      <w:pPr>
        <w:spacing w:after="0"/>
        <w:ind w:left="284" w:hanging="284"/>
        <w:jc w:val="both"/>
        <w:outlineLvl w:val="0"/>
        <w:rPr>
          <w:rFonts w:ascii="Times New Roman" w:hAnsi="Times New Roman" w:cs="Times New Roman"/>
          <w:b/>
          <w:noProof/>
          <w:sz w:val="20"/>
          <w:szCs w:val="18"/>
        </w:rPr>
      </w:pPr>
      <w:r w:rsidRPr="00BC4F33">
        <w:rPr>
          <w:rFonts w:ascii="Times New Roman" w:hAnsi="Times New Roman" w:cs="Times New Roman"/>
          <w:b/>
          <w:noProof/>
          <w:sz w:val="20"/>
          <w:szCs w:val="18"/>
        </w:rPr>
        <w:t>Numismatica</w:t>
      </w:r>
    </w:p>
    <w:p w14:paraId="1E7DD329" w14:textId="77777777" w:rsidR="00E53E51" w:rsidRPr="00BC4F33" w:rsidRDefault="00E53E51" w:rsidP="00E53E51">
      <w:pPr>
        <w:jc w:val="both"/>
        <w:outlineLvl w:val="1"/>
        <w:rPr>
          <w:rFonts w:ascii="Times New Roman" w:hAnsi="Times New Roman" w:cs="Times New Roman"/>
          <w:smallCaps/>
          <w:noProof/>
          <w:sz w:val="18"/>
          <w:szCs w:val="18"/>
        </w:rPr>
      </w:pPr>
      <w:r w:rsidRPr="00BC4F33">
        <w:rPr>
          <w:rFonts w:ascii="Times New Roman" w:hAnsi="Times New Roman" w:cs="Times New Roman"/>
          <w:smallCaps/>
          <w:noProof/>
          <w:sz w:val="18"/>
          <w:szCs w:val="18"/>
        </w:rPr>
        <w:t>Prof. Claudia Perassi</w:t>
      </w:r>
    </w:p>
    <w:p w14:paraId="5C1A8D01" w14:textId="77777777"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OBIETTIVO DEL CORSO e RISULTATI DI APPRENDIMENTO ATTESI</w:t>
      </w:r>
    </w:p>
    <w:p w14:paraId="01A059A6" w14:textId="77777777" w:rsidR="00E53E51" w:rsidRPr="00BC4F33" w:rsidRDefault="00E53E51"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 xml:space="preserve">Il corso è suddiviso in due moduli di 30 ore. </w:t>
      </w:r>
    </w:p>
    <w:p w14:paraId="7F9BF990" w14:textId="72D21034" w:rsidR="00E53E51" w:rsidRPr="00BC4F33" w:rsidRDefault="00E53E51"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Il primo modulo si propone di introdurre gli studenti alla conoscenza del lessico proprio della disciplina e delle nozioni di base della storia della moneta in età antica, dalle sue origini in Asia Minore fino alla caduta dell</w:t>
      </w:r>
      <w:r w:rsidR="00B64FDB">
        <w:rPr>
          <w:rFonts w:ascii="Times New Roman" w:eastAsia="Calibri" w:hAnsi="Times New Roman" w:cs="Times New Roman"/>
          <w:sz w:val="20"/>
          <w:szCs w:val="18"/>
        </w:rPr>
        <w:t>’</w:t>
      </w:r>
      <w:r w:rsidRPr="00BC4F33">
        <w:rPr>
          <w:rFonts w:ascii="Times New Roman" w:eastAsia="Calibri" w:hAnsi="Times New Roman" w:cs="Times New Roman"/>
          <w:sz w:val="20"/>
          <w:szCs w:val="18"/>
        </w:rPr>
        <w:t xml:space="preserve">Impero Romano d’Occidente. Il modulo è indirizzato agli studenti delle Lauree Triennali e a quelli delle Lauree Magistrali che non hanno seguito un insegnamento di Numismatica nel loro precedente percorso di studi. Al termine del modulo gli studenti avranno acquisito i concetti fondamentali della disciplina e la sua terminologia specifica, conosceranno le linee generali della storia della monetazione antica e saranno in grado di contestualizzarle in rapporto alle vicende storiche del periodo. </w:t>
      </w:r>
    </w:p>
    <w:p w14:paraId="79F45592" w14:textId="644480D5" w:rsidR="00B64FDB" w:rsidRDefault="0017587D"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Il secondo modulo, a</w:t>
      </w:r>
      <w:r w:rsidR="00E53E51" w:rsidRPr="00BC4F33">
        <w:rPr>
          <w:rFonts w:ascii="Times New Roman" w:eastAsia="Calibri" w:hAnsi="Times New Roman" w:cs="Times New Roman"/>
          <w:sz w:val="20"/>
          <w:szCs w:val="18"/>
        </w:rPr>
        <w:t xml:space="preserve">nalizzando alcuni casi campione particolarmente significativi, si propone di illustrare la metodologia della ricerca numismatica che consente di inserire il documento monetale nel suo contesto storico, economico, </w:t>
      </w:r>
      <w:r w:rsidR="004C0E02" w:rsidRPr="00BC4F33">
        <w:rPr>
          <w:rFonts w:ascii="Times New Roman" w:eastAsia="Calibri" w:hAnsi="Times New Roman" w:cs="Times New Roman"/>
          <w:sz w:val="20"/>
          <w:szCs w:val="18"/>
        </w:rPr>
        <w:t xml:space="preserve">archeologico </w:t>
      </w:r>
      <w:r w:rsidR="004C0E02">
        <w:rPr>
          <w:rFonts w:ascii="Times New Roman" w:eastAsia="Calibri" w:hAnsi="Times New Roman" w:cs="Times New Roman"/>
          <w:sz w:val="20"/>
          <w:szCs w:val="18"/>
        </w:rPr>
        <w:t xml:space="preserve">e </w:t>
      </w:r>
      <w:r w:rsidR="00E53E51" w:rsidRPr="00BC4F33">
        <w:rPr>
          <w:rFonts w:ascii="Times New Roman" w:eastAsia="Calibri" w:hAnsi="Times New Roman" w:cs="Times New Roman"/>
          <w:sz w:val="20"/>
          <w:szCs w:val="18"/>
        </w:rPr>
        <w:t>culturale</w:t>
      </w:r>
      <w:r w:rsidR="004C0E02">
        <w:rPr>
          <w:rFonts w:ascii="Times New Roman" w:eastAsia="Calibri" w:hAnsi="Times New Roman" w:cs="Times New Roman"/>
          <w:sz w:val="20"/>
          <w:szCs w:val="18"/>
        </w:rPr>
        <w:t>. I</w:t>
      </w:r>
      <w:r w:rsidR="00E53E51" w:rsidRPr="00BC4F33">
        <w:rPr>
          <w:rFonts w:ascii="Times New Roman" w:eastAsia="Calibri" w:hAnsi="Times New Roman" w:cs="Times New Roman"/>
          <w:sz w:val="20"/>
          <w:szCs w:val="18"/>
        </w:rPr>
        <w:t xml:space="preserve">l modulo è indirizzato agli studenti delle Lauree Magistrali che hanno già seguito un insegnamento di Numismatica nel loro procedente percorso di studi. Al termine del modulo gli studenti avranno acquisito la consapevolezza dei metodi di ricerca utilizzati nella disciplina e saranno in grado di studiare le monete come fonte storica, dato economico e documento archeologico. </w:t>
      </w:r>
    </w:p>
    <w:p w14:paraId="1DC1F55D" w14:textId="1A95712A" w:rsidR="00E53E51" w:rsidRPr="00BC4F33" w:rsidRDefault="00B64FDB" w:rsidP="00E53E51">
      <w:pPr>
        <w:jc w:val="both"/>
        <w:rPr>
          <w:rFonts w:ascii="Times New Roman" w:eastAsia="Calibri" w:hAnsi="Times New Roman" w:cs="Times New Roman"/>
          <w:sz w:val="20"/>
          <w:szCs w:val="18"/>
        </w:rPr>
      </w:pPr>
      <w:r>
        <w:rPr>
          <w:rFonts w:ascii="Times New Roman" w:eastAsia="Calibri" w:hAnsi="Times New Roman" w:cs="Times New Roman"/>
          <w:sz w:val="20"/>
          <w:szCs w:val="18"/>
        </w:rPr>
        <w:t>Nel corso di entrambi i moduli, a</w:t>
      </w:r>
      <w:r w:rsidRPr="00BC4F33">
        <w:rPr>
          <w:rFonts w:ascii="Times New Roman" w:eastAsia="Calibri" w:hAnsi="Times New Roman" w:cs="Times New Roman"/>
          <w:sz w:val="20"/>
          <w:szCs w:val="18"/>
        </w:rPr>
        <w:t>lcune ore sono dedicate alla visione e allo studio guidato dal docente di monete romane della Collezione Numismatica dell’Università Cattolica</w:t>
      </w:r>
      <w:r w:rsidR="004C0E02">
        <w:rPr>
          <w:rFonts w:ascii="Times New Roman" w:eastAsia="Calibri" w:hAnsi="Times New Roman" w:cs="Times New Roman"/>
          <w:sz w:val="20"/>
          <w:szCs w:val="18"/>
        </w:rPr>
        <w:t xml:space="preserve">. Gli studenti acquisiscono pertanto </w:t>
      </w:r>
      <w:r w:rsidR="004C0E02" w:rsidRPr="00BC4F33">
        <w:rPr>
          <w:rFonts w:ascii="Times New Roman" w:eastAsia="Calibri" w:hAnsi="Times New Roman" w:cs="Times New Roman"/>
          <w:sz w:val="20"/>
          <w:szCs w:val="18"/>
        </w:rPr>
        <w:t>la capacità di leggere una moneta</w:t>
      </w:r>
      <w:r w:rsidR="004C0E02">
        <w:rPr>
          <w:rFonts w:ascii="Times New Roman" w:eastAsia="Calibri" w:hAnsi="Times New Roman" w:cs="Times New Roman"/>
          <w:sz w:val="20"/>
          <w:szCs w:val="18"/>
        </w:rPr>
        <w:t xml:space="preserve"> in modo sempre più autonom</w:t>
      </w:r>
      <w:r w:rsidR="00535DEC">
        <w:rPr>
          <w:rFonts w:ascii="Times New Roman" w:eastAsia="Calibri" w:hAnsi="Times New Roman" w:cs="Times New Roman"/>
          <w:sz w:val="20"/>
          <w:szCs w:val="18"/>
        </w:rPr>
        <w:t>o</w:t>
      </w:r>
      <w:r w:rsidR="004C0E02">
        <w:rPr>
          <w:rFonts w:ascii="Times New Roman" w:eastAsia="Calibri" w:hAnsi="Times New Roman" w:cs="Times New Roman"/>
          <w:sz w:val="20"/>
          <w:szCs w:val="18"/>
        </w:rPr>
        <w:t xml:space="preserve">, </w:t>
      </w:r>
      <w:r w:rsidR="004C0E02" w:rsidRPr="00BC4F33">
        <w:rPr>
          <w:rFonts w:ascii="Times New Roman" w:eastAsia="Calibri" w:hAnsi="Times New Roman" w:cs="Times New Roman"/>
          <w:sz w:val="20"/>
          <w:szCs w:val="18"/>
        </w:rPr>
        <w:t>decifrandone gli aspetti epigrafici, iconografici e strettamente numismatici</w:t>
      </w:r>
      <w:r w:rsidR="004C0E02">
        <w:rPr>
          <w:rFonts w:ascii="Times New Roman" w:eastAsia="Calibri" w:hAnsi="Times New Roman" w:cs="Times New Roman"/>
          <w:sz w:val="20"/>
          <w:szCs w:val="18"/>
        </w:rPr>
        <w:t xml:space="preserve">, apprendendo </w:t>
      </w:r>
      <w:r w:rsidR="00535DEC">
        <w:rPr>
          <w:rFonts w:ascii="Times New Roman" w:eastAsia="Calibri" w:hAnsi="Times New Roman" w:cs="Times New Roman"/>
          <w:sz w:val="20"/>
          <w:szCs w:val="18"/>
        </w:rPr>
        <w:t xml:space="preserve">nel contempo </w:t>
      </w:r>
      <w:r w:rsidR="004C0E02">
        <w:rPr>
          <w:rFonts w:ascii="Times New Roman" w:eastAsia="Calibri" w:hAnsi="Times New Roman" w:cs="Times New Roman"/>
          <w:sz w:val="20"/>
          <w:szCs w:val="18"/>
        </w:rPr>
        <w:t>la metodologia di una corretta schedatura numismatica.</w:t>
      </w:r>
    </w:p>
    <w:p w14:paraId="34EEACF4" w14:textId="77777777"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PROGRAMMA DEL CORSO</w:t>
      </w:r>
    </w:p>
    <w:p w14:paraId="436DE103" w14:textId="77777777" w:rsidR="00E53E51" w:rsidRPr="00BC4F33" w:rsidRDefault="00E53E51" w:rsidP="00BC4F33">
      <w:pPr>
        <w:spacing w:after="120"/>
        <w:jc w:val="both"/>
        <w:rPr>
          <w:rFonts w:ascii="Times New Roman" w:eastAsia="Calibri" w:hAnsi="Times New Roman" w:cs="Times New Roman"/>
          <w:sz w:val="20"/>
          <w:szCs w:val="18"/>
        </w:rPr>
      </w:pPr>
      <w:r w:rsidRPr="00BC4F33">
        <w:rPr>
          <w:rFonts w:ascii="Times New Roman" w:eastAsia="Calibri" w:hAnsi="Times New Roman" w:cs="Times New Roman"/>
          <w:smallCaps/>
          <w:sz w:val="20"/>
          <w:szCs w:val="18"/>
        </w:rPr>
        <w:t>I Modulo</w:t>
      </w:r>
    </w:p>
    <w:p w14:paraId="695DF7CB" w14:textId="77777777" w:rsidR="00E53E51" w:rsidRPr="00BC4F33" w:rsidRDefault="00E53E51" w:rsidP="00BC4F33">
      <w:pPr>
        <w:spacing w:after="120"/>
        <w:jc w:val="both"/>
        <w:rPr>
          <w:rFonts w:ascii="Times New Roman" w:eastAsia="MS Mincho" w:hAnsi="Times New Roman" w:cs="Times New Roman"/>
          <w:sz w:val="20"/>
          <w:szCs w:val="18"/>
        </w:rPr>
      </w:pPr>
      <w:r w:rsidRPr="00BC4F33">
        <w:rPr>
          <w:rFonts w:ascii="Times New Roman" w:eastAsia="MS Mincho" w:hAnsi="Times New Roman" w:cs="Times New Roman"/>
          <w:i/>
          <w:sz w:val="20"/>
          <w:szCs w:val="18"/>
        </w:rPr>
        <w:t>Lineamenti di numismatica greca e romana</w:t>
      </w:r>
      <w:r w:rsidRPr="00BC4F33">
        <w:rPr>
          <w:rFonts w:ascii="Times New Roman" w:eastAsia="MS Mincho" w:hAnsi="Times New Roman" w:cs="Times New Roman"/>
          <w:sz w:val="20"/>
          <w:szCs w:val="18"/>
        </w:rPr>
        <w:t xml:space="preserve"> </w:t>
      </w:r>
    </w:p>
    <w:p w14:paraId="54F8206E" w14:textId="49187502" w:rsidR="00E53E51" w:rsidRPr="00BC4F33" w:rsidRDefault="00E53E51" w:rsidP="00E53E51">
      <w:pPr>
        <w:jc w:val="both"/>
        <w:rPr>
          <w:rFonts w:ascii="Times New Roman" w:eastAsia="MS Mincho" w:hAnsi="Times New Roman" w:cs="Times New Roman"/>
          <w:sz w:val="20"/>
          <w:szCs w:val="18"/>
        </w:rPr>
      </w:pPr>
      <w:r w:rsidRPr="00BC4F33">
        <w:rPr>
          <w:rFonts w:ascii="Times New Roman" w:eastAsia="MS Mincho" w:hAnsi="Times New Roman" w:cs="Times New Roman"/>
          <w:sz w:val="20"/>
          <w:szCs w:val="18"/>
        </w:rPr>
        <w:lastRenderedPageBreak/>
        <w:t xml:space="preserve">Saranno innanzitutto affrontate le seguenti tematiche generali: definizione di “numismatica” e di “moneta”; nascita del collezionismo monetale e sviluppo degli studi numismatici; criteri per la datazione delle monete antiche; tecniche di fabbricazione delle monete antiche (fusione e coniazione). Saranno poi delineate le principali problematiche dello sviluppo della monetazione in ambito occidentale: </w:t>
      </w:r>
      <w:r w:rsidR="00ED0140">
        <w:rPr>
          <w:rFonts w:ascii="Times New Roman" w:eastAsia="MS Mincho" w:hAnsi="Times New Roman" w:cs="Times New Roman"/>
          <w:sz w:val="20"/>
          <w:szCs w:val="18"/>
        </w:rPr>
        <w:t xml:space="preserve">forme </w:t>
      </w:r>
      <w:proofErr w:type="spellStart"/>
      <w:r w:rsidRPr="00BC4F33">
        <w:rPr>
          <w:rFonts w:ascii="Times New Roman" w:eastAsia="MS Mincho" w:hAnsi="Times New Roman" w:cs="Times New Roman"/>
          <w:sz w:val="20"/>
          <w:szCs w:val="18"/>
        </w:rPr>
        <w:t>pre</w:t>
      </w:r>
      <w:proofErr w:type="spellEnd"/>
      <w:r w:rsidR="00ED0140">
        <w:rPr>
          <w:rFonts w:ascii="Times New Roman" w:eastAsia="MS Mincho" w:hAnsi="Times New Roman" w:cs="Times New Roman"/>
          <w:sz w:val="20"/>
          <w:szCs w:val="18"/>
        </w:rPr>
        <w:t>-</w:t>
      </w:r>
      <w:r w:rsidRPr="00BC4F33">
        <w:rPr>
          <w:rFonts w:ascii="Times New Roman" w:eastAsia="MS Mincho" w:hAnsi="Times New Roman" w:cs="Times New Roman"/>
          <w:sz w:val="20"/>
          <w:szCs w:val="18"/>
        </w:rPr>
        <w:t>moneta</w:t>
      </w:r>
      <w:r w:rsidR="00ED0140">
        <w:rPr>
          <w:rFonts w:ascii="Times New Roman" w:eastAsia="MS Mincho" w:hAnsi="Times New Roman" w:cs="Times New Roman"/>
          <w:sz w:val="20"/>
          <w:szCs w:val="18"/>
        </w:rPr>
        <w:t>li</w:t>
      </w:r>
      <w:r w:rsidRPr="00BC4F33">
        <w:rPr>
          <w:rFonts w:ascii="Times New Roman" w:eastAsia="MS Mincho" w:hAnsi="Times New Roman" w:cs="Times New Roman"/>
          <w:sz w:val="20"/>
          <w:szCs w:val="18"/>
        </w:rPr>
        <w:t xml:space="preserve"> nel mondo greco; introduzione della moneta in area </w:t>
      </w:r>
      <w:r w:rsidR="00BC4F33" w:rsidRPr="00BC4F33">
        <w:rPr>
          <w:rFonts w:ascii="Times New Roman" w:eastAsia="MS Mincho" w:hAnsi="Times New Roman" w:cs="Times New Roman"/>
          <w:sz w:val="20"/>
          <w:szCs w:val="18"/>
        </w:rPr>
        <w:t>microasiatica; caratteri</w:t>
      </w:r>
      <w:r w:rsidRPr="00BC4F33">
        <w:rPr>
          <w:rFonts w:ascii="Times New Roman" w:eastAsia="MS Mincho" w:hAnsi="Times New Roman" w:cs="Times New Roman"/>
          <w:sz w:val="20"/>
          <w:szCs w:val="18"/>
        </w:rPr>
        <w:t xml:space="preserve"> generali della monetazione greca; monetazione di Atene; </w:t>
      </w:r>
      <w:proofErr w:type="spellStart"/>
      <w:r w:rsidRPr="00BC4F33">
        <w:rPr>
          <w:rFonts w:ascii="Times New Roman" w:eastAsia="MS Mincho" w:hAnsi="Times New Roman" w:cs="Times New Roman"/>
          <w:sz w:val="20"/>
          <w:szCs w:val="18"/>
        </w:rPr>
        <w:t>premoneta</w:t>
      </w:r>
      <w:proofErr w:type="spellEnd"/>
      <w:r w:rsidRPr="00BC4F33">
        <w:rPr>
          <w:rFonts w:ascii="Times New Roman" w:eastAsia="MS Mincho" w:hAnsi="Times New Roman" w:cs="Times New Roman"/>
          <w:sz w:val="20"/>
          <w:szCs w:val="18"/>
        </w:rPr>
        <w:t xml:space="preserve"> nel mondo romano; monetazione romana di età repubblicana; monetazione romana di età imperiale; aspetti di iconografia monetale.</w:t>
      </w:r>
    </w:p>
    <w:p w14:paraId="4E00F533" w14:textId="77777777" w:rsidR="00E53E51" w:rsidRPr="00BC4F33" w:rsidRDefault="00E53E51" w:rsidP="00BC4F33">
      <w:pPr>
        <w:spacing w:after="120"/>
        <w:jc w:val="both"/>
        <w:rPr>
          <w:rFonts w:ascii="Times New Roman" w:eastAsia="Calibri" w:hAnsi="Times New Roman" w:cs="Times New Roman"/>
          <w:color w:val="000000" w:themeColor="text1"/>
          <w:sz w:val="20"/>
          <w:szCs w:val="18"/>
        </w:rPr>
      </w:pPr>
      <w:r w:rsidRPr="00BC4F33">
        <w:rPr>
          <w:rFonts w:ascii="Times New Roman" w:eastAsia="Calibri" w:hAnsi="Times New Roman" w:cs="Times New Roman"/>
          <w:smallCaps/>
          <w:color w:val="000000" w:themeColor="text1"/>
          <w:sz w:val="20"/>
          <w:szCs w:val="18"/>
        </w:rPr>
        <w:t>II Modulo</w:t>
      </w:r>
    </w:p>
    <w:p w14:paraId="35CEAEFC" w14:textId="106EF310" w:rsidR="00E53E51" w:rsidRPr="004C0E02" w:rsidRDefault="00E53E51" w:rsidP="004C0E02">
      <w:pPr>
        <w:spacing w:after="120"/>
        <w:jc w:val="both"/>
        <w:rPr>
          <w:rFonts w:ascii="Times New Roman" w:hAnsi="Times New Roman" w:cs="Times New Roman"/>
          <w:sz w:val="20"/>
          <w:szCs w:val="18"/>
        </w:rPr>
      </w:pPr>
      <w:r w:rsidRPr="004C0E02">
        <w:rPr>
          <w:rFonts w:ascii="Times New Roman" w:hAnsi="Times New Roman" w:cs="Times New Roman"/>
          <w:sz w:val="20"/>
          <w:szCs w:val="18"/>
        </w:rPr>
        <w:t xml:space="preserve">Attraverso alcuni casi campione, saranno illustrate la metodologia della ricerca numismatica e le molteplici possibilità di lettura del documento monetale come fonte per lo studio dell’economia, della storia e l’ideologia del potere, dei fenomeni artistici e della società nella quale vennero emesse. L’analisi della documentazione monetale rinvenuta nelle indagini archeologiche condotte nel sito di </w:t>
      </w:r>
      <w:proofErr w:type="spellStart"/>
      <w:r w:rsidRPr="004C0E02">
        <w:rPr>
          <w:rFonts w:ascii="Times New Roman" w:hAnsi="Times New Roman" w:cs="Times New Roman"/>
          <w:i/>
          <w:sz w:val="20"/>
          <w:szCs w:val="18"/>
        </w:rPr>
        <w:t>Carnuntum</w:t>
      </w:r>
      <w:proofErr w:type="spellEnd"/>
      <w:r w:rsidRPr="004C0E02">
        <w:rPr>
          <w:rFonts w:ascii="Times New Roman" w:hAnsi="Times New Roman" w:cs="Times New Roman"/>
          <w:i/>
          <w:sz w:val="20"/>
          <w:szCs w:val="18"/>
        </w:rPr>
        <w:t xml:space="preserve"> </w:t>
      </w:r>
      <w:r w:rsidRPr="004C0E02">
        <w:rPr>
          <w:rFonts w:ascii="Times New Roman" w:hAnsi="Times New Roman" w:cs="Times New Roman"/>
          <w:sz w:val="20"/>
          <w:szCs w:val="18"/>
        </w:rPr>
        <w:t xml:space="preserve">consentirà di delineare aspetti della vita economica della città in età romana. La monetazione emessa per e da Cleopatra </w:t>
      </w:r>
      <w:proofErr w:type="spellStart"/>
      <w:r w:rsidRPr="004C0E02">
        <w:rPr>
          <w:rFonts w:ascii="Times New Roman" w:hAnsi="Times New Roman" w:cs="Times New Roman"/>
          <w:sz w:val="20"/>
          <w:szCs w:val="18"/>
        </w:rPr>
        <w:t>Theà</w:t>
      </w:r>
      <w:proofErr w:type="spellEnd"/>
      <w:r w:rsidRPr="004C0E02">
        <w:rPr>
          <w:rFonts w:ascii="Times New Roman" w:hAnsi="Times New Roman" w:cs="Times New Roman"/>
          <w:sz w:val="20"/>
          <w:szCs w:val="18"/>
        </w:rPr>
        <w:t xml:space="preserve"> di Siria (164 a.C. - 121 a.C. circa) permetterà di conoscere la figura della basilissa seleucide, confrontando la fonte numismatica con le testimonianze scritte. Il soggetto di </w:t>
      </w:r>
      <w:proofErr w:type="spellStart"/>
      <w:r w:rsidRPr="004C0E02">
        <w:rPr>
          <w:rFonts w:ascii="Times New Roman" w:hAnsi="Times New Roman" w:cs="Times New Roman"/>
          <w:i/>
          <w:sz w:val="20"/>
          <w:szCs w:val="18"/>
        </w:rPr>
        <w:t>Spes</w:t>
      </w:r>
      <w:proofErr w:type="spellEnd"/>
      <w:r w:rsidRPr="004C0E02">
        <w:rPr>
          <w:rFonts w:ascii="Times New Roman" w:hAnsi="Times New Roman" w:cs="Times New Roman"/>
          <w:sz w:val="20"/>
          <w:szCs w:val="18"/>
        </w:rPr>
        <w:t xml:space="preserve">, riprodotto sulla monetazione romana imperiale dal I al III secolo d.C., chiarirà </w:t>
      </w:r>
      <w:r w:rsidR="00E42858" w:rsidRPr="004C0E02">
        <w:rPr>
          <w:rFonts w:ascii="Times New Roman" w:hAnsi="Times New Roman" w:cs="Times New Roman"/>
          <w:sz w:val="20"/>
          <w:szCs w:val="18"/>
        </w:rPr>
        <w:t xml:space="preserve">le potenzialità e i limiti </w:t>
      </w:r>
      <w:r w:rsidR="00ED0140">
        <w:rPr>
          <w:rFonts w:ascii="Times New Roman" w:hAnsi="Times New Roman" w:cs="Times New Roman"/>
          <w:sz w:val="20"/>
          <w:szCs w:val="18"/>
        </w:rPr>
        <w:t xml:space="preserve">comunicativi </w:t>
      </w:r>
      <w:r w:rsidR="00E42858" w:rsidRPr="004C0E02">
        <w:rPr>
          <w:rFonts w:ascii="Times New Roman" w:hAnsi="Times New Roman" w:cs="Times New Roman"/>
          <w:sz w:val="20"/>
          <w:szCs w:val="18"/>
        </w:rPr>
        <w:t>dell’epigrafia e dell</w:t>
      </w:r>
      <w:r w:rsidRPr="004C0E02">
        <w:rPr>
          <w:rFonts w:ascii="Times New Roman" w:hAnsi="Times New Roman" w:cs="Times New Roman"/>
          <w:sz w:val="20"/>
          <w:szCs w:val="18"/>
        </w:rPr>
        <w:t>’iconografia monetal</w:t>
      </w:r>
      <w:r w:rsidR="00E42858" w:rsidRPr="004C0E02">
        <w:rPr>
          <w:rFonts w:ascii="Times New Roman" w:hAnsi="Times New Roman" w:cs="Times New Roman"/>
          <w:sz w:val="20"/>
          <w:szCs w:val="18"/>
        </w:rPr>
        <w:t>i. G</w:t>
      </w:r>
      <w:r w:rsidR="0017587D" w:rsidRPr="004C0E02">
        <w:rPr>
          <w:rFonts w:ascii="Times New Roman" w:hAnsi="Times New Roman" w:cs="Times New Roman"/>
          <w:sz w:val="20"/>
          <w:szCs w:val="18"/>
        </w:rPr>
        <w:t xml:space="preserve">li usi non monetali delle monete saranno esaminati alla luce del loro utilizzo </w:t>
      </w:r>
      <w:r w:rsidR="00E42858" w:rsidRPr="004C0E02">
        <w:rPr>
          <w:rFonts w:ascii="Times New Roman" w:hAnsi="Times New Roman" w:cs="Times New Roman"/>
          <w:sz w:val="20"/>
          <w:szCs w:val="18"/>
        </w:rPr>
        <w:t>c</w:t>
      </w:r>
      <w:r w:rsidR="0017587D" w:rsidRPr="004C0E02">
        <w:rPr>
          <w:rFonts w:ascii="Times New Roman" w:hAnsi="Times New Roman" w:cs="Times New Roman"/>
          <w:sz w:val="20"/>
          <w:szCs w:val="18"/>
        </w:rPr>
        <w:t>o</w:t>
      </w:r>
      <w:r w:rsidR="00145BAD">
        <w:rPr>
          <w:rFonts w:ascii="Times New Roman" w:hAnsi="Times New Roman" w:cs="Times New Roman"/>
          <w:sz w:val="20"/>
          <w:szCs w:val="18"/>
        </w:rPr>
        <w:t>me gioielli.</w:t>
      </w:r>
    </w:p>
    <w:p w14:paraId="551BBB1C" w14:textId="69BCC853"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BIBLIOGRAFIA</w:t>
      </w:r>
      <w:r w:rsidR="00C81A85">
        <w:rPr>
          <w:rStyle w:val="Rimandonotaapidipagina"/>
          <w:rFonts w:ascii="Times New Roman" w:eastAsia="Calibri" w:hAnsi="Times New Roman" w:cs="Times New Roman"/>
          <w:b/>
          <w:i/>
          <w:sz w:val="18"/>
          <w:szCs w:val="18"/>
        </w:rPr>
        <w:footnoteReference w:id="1"/>
      </w:r>
    </w:p>
    <w:p w14:paraId="23E5F88A" w14:textId="77777777" w:rsidR="00E53E51" w:rsidRPr="00BC4F33" w:rsidRDefault="00E53E51" w:rsidP="00E53E51">
      <w:pPr>
        <w:jc w:val="both"/>
        <w:rPr>
          <w:rFonts w:ascii="Times New Roman" w:hAnsi="Times New Roman" w:cs="Times New Roman"/>
          <w:color w:val="000000"/>
          <w:sz w:val="18"/>
          <w:szCs w:val="18"/>
          <w:shd w:val="clear" w:color="auto" w:fill="FFFFFF"/>
        </w:rPr>
      </w:pPr>
      <w:r w:rsidRPr="00BC4F33">
        <w:rPr>
          <w:rFonts w:ascii="Times New Roman" w:hAnsi="Times New Roman" w:cs="Times New Roman"/>
          <w:color w:val="000000"/>
          <w:sz w:val="18"/>
          <w:szCs w:val="18"/>
          <w:shd w:val="clear" w:color="auto" w:fill="FFFFFF"/>
        </w:rPr>
        <w:t xml:space="preserve">Per la entrambi i moduli, gli appunti costituiranno parte integrante per la preparazione dell’esame. Durante lo svolgimento del corso il docente metterà a disposizione degli studenti sulla piattaforma </w:t>
      </w:r>
      <w:proofErr w:type="spellStart"/>
      <w:r w:rsidRPr="00BC4F33">
        <w:rPr>
          <w:rFonts w:ascii="Times New Roman" w:hAnsi="Times New Roman" w:cs="Times New Roman"/>
          <w:color w:val="000000"/>
          <w:sz w:val="18"/>
          <w:szCs w:val="18"/>
          <w:shd w:val="clear" w:color="auto" w:fill="FFFFFF"/>
        </w:rPr>
        <w:t>Blackboard</w:t>
      </w:r>
      <w:proofErr w:type="spellEnd"/>
      <w:r w:rsidRPr="00BC4F33">
        <w:rPr>
          <w:rFonts w:ascii="Times New Roman" w:hAnsi="Times New Roman" w:cs="Times New Roman"/>
          <w:color w:val="000000"/>
          <w:sz w:val="18"/>
          <w:szCs w:val="18"/>
          <w:shd w:val="clear" w:color="auto" w:fill="FFFFFF"/>
        </w:rPr>
        <w:t xml:space="preserve"> il materiale utilizzato per le lezioni (</w:t>
      </w:r>
      <w:proofErr w:type="spellStart"/>
      <w:r w:rsidRPr="00BC4F33">
        <w:rPr>
          <w:rFonts w:ascii="Times New Roman" w:hAnsi="Times New Roman" w:cs="Times New Roman"/>
          <w:color w:val="000000"/>
          <w:sz w:val="18"/>
          <w:szCs w:val="18"/>
          <w:shd w:val="clear" w:color="auto" w:fill="FFFFFF"/>
        </w:rPr>
        <w:t>powerpoint</w:t>
      </w:r>
      <w:proofErr w:type="spellEnd"/>
      <w:r w:rsidRPr="00BC4F33">
        <w:rPr>
          <w:rFonts w:ascii="Times New Roman" w:hAnsi="Times New Roman" w:cs="Times New Roman"/>
          <w:color w:val="000000"/>
          <w:sz w:val="18"/>
          <w:szCs w:val="18"/>
          <w:shd w:val="clear" w:color="auto" w:fill="FFFFFF"/>
        </w:rPr>
        <w:t>).</w:t>
      </w:r>
    </w:p>
    <w:p w14:paraId="487C9807" w14:textId="77777777" w:rsidR="00E53E51" w:rsidRPr="00BC4F33" w:rsidRDefault="00E53E51" w:rsidP="00E53E51">
      <w:pPr>
        <w:spacing w:line="220" w:lineRule="exact"/>
        <w:ind w:left="284" w:hanging="284"/>
        <w:jc w:val="both"/>
        <w:rPr>
          <w:rFonts w:ascii="Times New Roman" w:hAnsi="Times New Roman" w:cs="Times New Roman"/>
          <w:noProof/>
          <w:sz w:val="18"/>
          <w:szCs w:val="18"/>
        </w:rPr>
      </w:pPr>
      <w:r w:rsidRPr="00BC4F33">
        <w:rPr>
          <w:rFonts w:ascii="Times New Roman" w:hAnsi="Times New Roman" w:cs="Times New Roman"/>
          <w:smallCaps/>
          <w:noProof/>
          <w:sz w:val="18"/>
          <w:szCs w:val="18"/>
        </w:rPr>
        <w:t>Bibliografia di riferimento per il I modulo</w:t>
      </w:r>
    </w:p>
    <w:p w14:paraId="6EE132D6" w14:textId="77777777"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M. </w:t>
      </w:r>
      <w:r w:rsidRPr="00BC4F33">
        <w:rPr>
          <w:rFonts w:ascii="Times New Roman" w:hAnsi="Times New Roman" w:cs="Times New Roman"/>
          <w:smallCaps/>
          <w:noProof/>
          <w:sz w:val="18"/>
          <w:szCs w:val="18"/>
        </w:rPr>
        <w:t>Asolati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Servius rex primus signavit aes. Breve storia della moneta a Roma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Alle radici dell’Euro. Quando la moneta fa la storia</w:t>
      </w:r>
      <w:r w:rsidRPr="00BC4F33">
        <w:rPr>
          <w:rFonts w:ascii="Times New Roman" w:hAnsi="Times New Roman" w:cs="Times New Roman"/>
          <w:noProof/>
          <w:sz w:val="18"/>
          <w:szCs w:val="18"/>
        </w:rPr>
        <w:t>, Treviso 2001, pp. 39-75</w:t>
      </w:r>
    </w:p>
    <w:p w14:paraId="506823F7" w14:textId="77777777"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lastRenderedPageBreak/>
        <w:t xml:space="preserve">R. </w:t>
      </w:r>
      <w:r w:rsidRPr="00BC4F33">
        <w:rPr>
          <w:rFonts w:ascii="Times New Roman" w:hAnsi="Times New Roman" w:cs="Times New Roman"/>
          <w:smallCaps/>
          <w:noProof/>
          <w:sz w:val="18"/>
          <w:szCs w:val="18"/>
        </w:rPr>
        <w:t>Cantilena</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Grecia e a Roma. Appunti di numismatica antica</w:t>
      </w:r>
      <w:r w:rsidRPr="00BC4F33">
        <w:rPr>
          <w:rFonts w:ascii="Times New Roman" w:hAnsi="Times New Roman" w:cs="Times New Roman"/>
          <w:noProof/>
          <w:sz w:val="18"/>
          <w:szCs w:val="18"/>
        </w:rPr>
        <w:t>, Monduzzi Editore, Bologna 2008</w:t>
      </w:r>
    </w:p>
    <w:p w14:paraId="4638AE0C" w14:textId="77777777"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C. </w:t>
      </w:r>
      <w:r w:rsidRPr="00BC4F33">
        <w:rPr>
          <w:rFonts w:ascii="Times New Roman" w:hAnsi="Times New Roman" w:cs="Times New Roman"/>
          <w:smallCaps/>
          <w:noProof/>
          <w:sz w:val="18"/>
          <w:szCs w:val="18"/>
        </w:rPr>
        <w:t>Perassi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età antica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Monet@. Un Numismatico, una Collezione, un Museo, Catalogo della Mostra, Como (16 dicembre 2006-29 aprile 2007)</w:t>
      </w:r>
      <w:r w:rsidRPr="00BC4F33">
        <w:rPr>
          <w:rFonts w:ascii="Times New Roman" w:hAnsi="Times New Roman" w:cs="Times New Roman"/>
          <w:noProof/>
          <w:sz w:val="18"/>
          <w:szCs w:val="18"/>
        </w:rPr>
        <w:t xml:space="preserve">, a c. di I. </w:t>
      </w:r>
      <w:r w:rsidRPr="00BC4F33">
        <w:rPr>
          <w:rFonts w:ascii="Times New Roman" w:hAnsi="Times New Roman" w:cs="Times New Roman"/>
          <w:smallCaps/>
          <w:noProof/>
          <w:sz w:val="18"/>
          <w:szCs w:val="18"/>
        </w:rPr>
        <w:t>Nobile De Agostini</w:t>
      </w:r>
      <w:r w:rsidRPr="00BC4F33">
        <w:rPr>
          <w:rFonts w:ascii="Times New Roman" w:hAnsi="Times New Roman" w:cs="Times New Roman"/>
          <w:noProof/>
          <w:sz w:val="18"/>
          <w:szCs w:val="18"/>
        </w:rPr>
        <w:t>, Como 2006, pp. 49-64</w:t>
      </w:r>
    </w:p>
    <w:p w14:paraId="0779CABE" w14:textId="3EA8DCD0" w:rsidR="00E53E51" w:rsidRPr="00BC4F33" w:rsidRDefault="00E53E51" w:rsidP="00C81A85">
      <w:pPr>
        <w:rPr>
          <w:rFonts w:ascii="Times New Roman" w:hAnsi="Times New Roman" w:cs="Times New Roman"/>
          <w:sz w:val="18"/>
          <w:szCs w:val="18"/>
        </w:rPr>
      </w:pPr>
      <w:r w:rsidRPr="00BC4F33">
        <w:rPr>
          <w:rFonts w:ascii="Times New Roman" w:hAnsi="Times New Roman" w:cs="Times New Roman"/>
          <w:noProof/>
          <w:sz w:val="18"/>
          <w:szCs w:val="18"/>
        </w:rPr>
        <w:t xml:space="preserve">A. </w:t>
      </w:r>
      <w:r w:rsidRPr="00BC4F33">
        <w:rPr>
          <w:rFonts w:ascii="Times New Roman" w:hAnsi="Times New Roman" w:cs="Times New Roman"/>
          <w:smallCaps/>
          <w:noProof/>
          <w:sz w:val="18"/>
          <w:szCs w:val="18"/>
        </w:rPr>
        <w:t>Savio</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Monete romane</w:t>
      </w:r>
      <w:r w:rsidRPr="00BC4F33">
        <w:rPr>
          <w:rFonts w:ascii="Times New Roman" w:hAnsi="Times New Roman" w:cs="Times New Roman"/>
          <w:noProof/>
          <w:sz w:val="18"/>
          <w:szCs w:val="18"/>
        </w:rPr>
        <w:t>, Roma 2001</w:t>
      </w:r>
      <w:r w:rsidR="00C81A85" w:rsidRPr="00C81A85">
        <w:rPr>
          <w:rFonts w:ascii="Times New Roman" w:hAnsi="Times New Roman" w:cs="Times New Roman"/>
          <w:i/>
          <w:sz w:val="18"/>
          <w:szCs w:val="18"/>
        </w:rPr>
        <w:t xml:space="preserve"> </w:t>
      </w:r>
      <w:hyperlink r:id="rId9" w:history="1">
        <w:r w:rsidR="00C81A85" w:rsidRPr="00C81A85">
          <w:rPr>
            <w:rStyle w:val="Collegamentoipertestuale"/>
            <w:rFonts w:ascii="Times New Roman" w:hAnsi="Times New Roman" w:cs="Times New Roman"/>
            <w:i/>
            <w:sz w:val="18"/>
            <w:szCs w:val="18"/>
          </w:rPr>
          <w:t>Acquista da VP</w:t>
        </w:r>
      </w:hyperlink>
      <w:bookmarkStart w:id="0" w:name="_GoBack"/>
      <w:bookmarkEnd w:id="0"/>
    </w:p>
    <w:p w14:paraId="6663A055" w14:textId="77777777" w:rsidR="00E53E51" w:rsidRPr="00BC4F33" w:rsidRDefault="00E53E51" w:rsidP="00E53E51">
      <w:pPr>
        <w:spacing w:line="220" w:lineRule="exact"/>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Bibliografia di riferimento per il II modulo</w:t>
      </w:r>
    </w:p>
    <w:p w14:paraId="170AB765" w14:textId="77777777" w:rsidR="00E53E51" w:rsidRPr="00BC4F33" w:rsidRDefault="00E53E51" w:rsidP="00E53E51">
      <w:pPr>
        <w:spacing w:line="220" w:lineRule="exact"/>
        <w:jc w:val="both"/>
        <w:rPr>
          <w:rFonts w:ascii="Times New Roman" w:hAnsi="Times New Roman" w:cs="Times New Roman"/>
          <w:noProof/>
          <w:color w:val="000000" w:themeColor="text1"/>
          <w:spacing w:val="-5"/>
          <w:sz w:val="18"/>
          <w:szCs w:val="18"/>
          <w:lang w:val="en-US"/>
        </w:rPr>
      </w:pPr>
      <w:r w:rsidRPr="00BC4F33">
        <w:rPr>
          <w:rFonts w:ascii="Times New Roman" w:hAnsi="Times New Roman" w:cs="Times New Roman"/>
          <w:i/>
          <w:noProof/>
          <w:sz w:val="18"/>
          <w:szCs w:val="18"/>
          <w:lang w:val="en-US"/>
        </w:rPr>
        <w:t>The Oxford Handbook of Greek and Roman Coinage</w:t>
      </w:r>
      <w:r w:rsidRPr="00BC4F33">
        <w:rPr>
          <w:rFonts w:ascii="Times New Roman" w:hAnsi="Times New Roman" w:cs="Times New Roman"/>
          <w:noProof/>
          <w:sz w:val="18"/>
          <w:szCs w:val="18"/>
          <w:lang w:val="en-US"/>
        </w:rPr>
        <w:t xml:space="preserve">, ed. by </w:t>
      </w:r>
      <w:r w:rsidRPr="00BC4F33">
        <w:rPr>
          <w:rFonts w:ascii="Times New Roman" w:hAnsi="Times New Roman" w:cs="Times New Roman"/>
          <w:smallCaps/>
          <w:noProof/>
          <w:sz w:val="18"/>
          <w:szCs w:val="18"/>
          <w:lang w:val="en-US"/>
        </w:rPr>
        <w:t>W. E. Metcalf</w:t>
      </w:r>
      <w:r w:rsidRPr="00BC4F33">
        <w:rPr>
          <w:rFonts w:ascii="Times New Roman" w:hAnsi="Times New Roman" w:cs="Times New Roman"/>
          <w:i/>
          <w:smallCaps/>
          <w:noProof/>
          <w:sz w:val="18"/>
          <w:szCs w:val="18"/>
          <w:lang w:val="en-US"/>
        </w:rPr>
        <w:t xml:space="preserve">, </w:t>
      </w:r>
      <w:r w:rsidRPr="00BC4F33">
        <w:rPr>
          <w:rFonts w:ascii="Times New Roman" w:hAnsi="Times New Roman" w:cs="Times New Roman"/>
          <w:noProof/>
          <w:sz w:val="18"/>
          <w:szCs w:val="18"/>
          <w:lang w:val="en-US"/>
        </w:rPr>
        <w:t>Oxford 2012</w:t>
      </w:r>
    </w:p>
    <w:p w14:paraId="112A615B" w14:textId="77777777" w:rsidR="00E42858" w:rsidRPr="00BC4F33" w:rsidRDefault="00E53E51" w:rsidP="00E53E51">
      <w:pPr>
        <w:spacing w:before="120" w:line="220" w:lineRule="exact"/>
        <w:jc w:val="both"/>
        <w:rPr>
          <w:rFonts w:ascii="Times New Roman" w:hAnsi="Times New Roman" w:cs="Times New Roman"/>
          <w:noProof/>
          <w:color w:val="000000" w:themeColor="text1"/>
          <w:sz w:val="18"/>
          <w:szCs w:val="18"/>
        </w:rPr>
      </w:pPr>
      <w:r w:rsidRPr="00BC4F33">
        <w:rPr>
          <w:rFonts w:ascii="Times New Roman" w:hAnsi="Times New Roman" w:cs="Times New Roman"/>
          <w:noProof/>
          <w:color w:val="000000" w:themeColor="text1"/>
          <w:sz w:val="18"/>
          <w:szCs w:val="18"/>
        </w:rPr>
        <w:t>Altra bibliografia, più specifica, verrà via via indicata durante le lezioni.</w:t>
      </w:r>
    </w:p>
    <w:p w14:paraId="21E5945C" w14:textId="77777777"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DIDATTICA DEL CORSO</w:t>
      </w:r>
    </w:p>
    <w:p w14:paraId="7F795F04" w14:textId="455A22E7" w:rsidR="00E53E51" w:rsidRPr="00BC4F33" w:rsidRDefault="00E53E51" w:rsidP="00E53E51">
      <w:pPr>
        <w:pStyle w:val="Testo2"/>
        <w:ind w:firstLine="0"/>
        <w:rPr>
          <w:rFonts w:ascii="Times New Roman" w:hAnsi="Times New Roman"/>
          <w:szCs w:val="18"/>
        </w:rPr>
      </w:pPr>
      <w:r w:rsidRPr="00BC4F33">
        <w:rPr>
          <w:rFonts w:ascii="Times New Roman" w:hAnsi="Times New Roman"/>
          <w:szCs w:val="18"/>
        </w:rPr>
        <w:t>Lezioni frontali in aula con proiezioni di immagini. Lavori pratici guidati in forma seminariale</w:t>
      </w:r>
      <w:r w:rsidR="004C0E02">
        <w:rPr>
          <w:rFonts w:ascii="Times New Roman" w:hAnsi="Times New Roman"/>
          <w:szCs w:val="18"/>
        </w:rPr>
        <w:t>.</w:t>
      </w:r>
    </w:p>
    <w:p w14:paraId="051E9783" w14:textId="77777777" w:rsidR="00BC4F33" w:rsidRDefault="00BC4F33" w:rsidP="00BC4F33">
      <w:pPr>
        <w:spacing w:before="240" w:after="120" w:line="220" w:lineRule="atLeast"/>
        <w:jc w:val="both"/>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METODO E CRITERI DI VALUTAZIONE</w:t>
      </w:r>
    </w:p>
    <w:p w14:paraId="01A721AF" w14:textId="77777777" w:rsidR="00E53E51" w:rsidRPr="00BC4F33" w:rsidRDefault="00E53E51" w:rsidP="00BC4F33">
      <w:pPr>
        <w:spacing w:after="120" w:line="220" w:lineRule="exact"/>
        <w:ind w:firstLine="284"/>
        <w:jc w:val="both"/>
        <w:rPr>
          <w:rFonts w:ascii="Times New Roman" w:hAnsi="Times New Roman" w:cs="Times New Roman"/>
          <w:smallCaps/>
          <w:sz w:val="18"/>
          <w:szCs w:val="18"/>
        </w:rPr>
      </w:pPr>
      <w:r w:rsidRPr="00BC4F33">
        <w:rPr>
          <w:rFonts w:ascii="Times New Roman" w:hAnsi="Times New Roman" w:cs="Times New Roman"/>
          <w:smallCaps/>
          <w:sz w:val="18"/>
          <w:szCs w:val="18"/>
        </w:rPr>
        <w:t>I modulo</w:t>
      </w:r>
    </w:p>
    <w:p w14:paraId="03C3E6AF" w14:textId="02620DF3" w:rsidR="00E53E51" w:rsidRPr="00BC4F33" w:rsidRDefault="00E53E51" w:rsidP="00715F31">
      <w:pPr>
        <w:spacing w:after="120"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004C0E02">
        <w:rPr>
          <w:rFonts w:ascii="Times New Roman" w:hAnsi="Times New Roman" w:cs="Times New Roman"/>
          <w:sz w:val="18"/>
          <w:szCs w:val="18"/>
        </w:rPr>
        <w:t xml:space="preserve">. </w:t>
      </w:r>
      <w:r w:rsidR="004C0E02" w:rsidRPr="00BC4F33">
        <w:rPr>
          <w:rFonts w:ascii="Times New Roman" w:hAnsi="Times New Roman" w:cs="Times New Roman"/>
          <w:noProof/>
          <w:sz w:val="18"/>
          <w:szCs w:val="18"/>
        </w:rPr>
        <w:t>Il candidato dovrà dimostrare innanzitutto di saper leggere una moneta e commentarne gli aspetti numismatici e storic</w:t>
      </w:r>
      <w:r w:rsidR="004C0E02">
        <w:rPr>
          <w:rFonts w:ascii="Times New Roman" w:hAnsi="Times New Roman" w:cs="Times New Roman"/>
          <w:noProof/>
          <w:sz w:val="18"/>
          <w:szCs w:val="18"/>
        </w:rPr>
        <w:t xml:space="preserve">i: </w:t>
      </w:r>
      <w:r w:rsidR="004C0E02" w:rsidRPr="00BC4F33">
        <w:rPr>
          <w:rFonts w:ascii="Times New Roman" w:hAnsi="Times New Roman" w:cs="Times New Roman"/>
          <w:noProof/>
          <w:sz w:val="18"/>
          <w:szCs w:val="18"/>
        </w:rPr>
        <w:t>l’esemplare sarà scelto dal docente fra quelli esaminati a lezione. Un’esposizione insufficiente di questa prima parte non permett</w:t>
      </w:r>
      <w:r w:rsidR="00EB00D1">
        <w:rPr>
          <w:rFonts w:ascii="Times New Roman" w:hAnsi="Times New Roman" w:cs="Times New Roman"/>
          <w:noProof/>
          <w:sz w:val="18"/>
          <w:szCs w:val="18"/>
        </w:rPr>
        <w:t>à</w:t>
      </w:r>
      <w:r w:rsidR="004C0E02" w:rsidRPr="00BC4F33">
        <w:rPr>
          <w:rFonts w:ascii="Times New Roman" w:hAnsi="Times New Roman" w:cs="Times New Roman"/>
          <w:noProof/>
          <w:sz w:val="18"/>
          <w:szCs w:val="18"/>
        </w:rPr>
        <w:t xml:space="preserve"> </w:t>
      </w:r>
      <w:r w:rsidR="00EB00D1">
        <w:rPr>
          <w:rFonts w:ascii="Times New Roman" w:hAnsi="Times New Roman" w:cs="Times New Roman"/>
          <w:noProof/>
          <w:sz w:val="18"/>
          <w:szCs w:val="18"/>
        </w:rPr>
        <w:t>il proseguimento dell</w:t>
      </w:r>
      <w:r w:rsidR="004C0E02" w:rsidRPr="00BC4F33">
        <w:rPr>
          <w:rFonts w:ascii="Times New Roman" w:hAnsi="Times New Roman" w:cs="Times New Roman"/>
          <w:noProof/>
          <w:sz w:val="18"/>
          <w:szCs w:val="18"/>
        </w:rPr>
        <w:t xml:space="preserve">’esame. Superata positivamente tale prova, seguirà un colloquio </w:t>
      </w:r>
      <w:r w:rsidR="004C0E02">
        <w:rPr>
          <w:rFonts w:ascii="Times New Roman" w:hAnsi="Times New Roman" w:cs="Times New Roman"/>
          <w:noProof/>
          <w:sz w:val="18"/>
          <w:szCs w:val="18"/>
        </w:rPr>
        <w:t xml:space="preserve">teso </w:t>
      </w:r>
      <w:r w:rsidRPr="00BC4F33">
        <w:rPr>
          <w:rFonts w:ascii="Times New Roman" w:hAnsi="Times New Roman" w:cs="Times New Roman"/>
          <w:noProof/>
          <w:sz w:val="18"/>
          <w:szCs w:val="18"/>
        </w:rPr>
        <w:t>all’accertamento dell’acquisizione e della corretta comprensione dei contenuti del corso (aspetti generali, monetazione greca, monetazione romana). Il voto finale terrà conto dell’esattezza e della qualità delle risposte, nonché dell’abilità comunicativa del candidato e della sua capacità di motivare adeguatamente affermazioni, analisi e giudizi.</w:t>
      </w:r>
    </w:p>
    <w:p w14:paraId="0D756C38" w14:textId="77777777" w:rsidR="00E53E51" w:rsidRPr="00BC4F33" w:rsidRDefault="00E53E51" w:rsidP="00BC4F33">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14:paraId="6CC5587F" w14:textId="68CE574C" w:rsidR="00E53E51" w:rsidRPr="00BC4F33" w:rsidRDefault="00E53E51" w:rsidP="00715F31">
      <w:pPr>
        <w:spacing w:after="120"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Pr="00BC4F33">
        <w:rPr>
          <w:rFonts w:ascii="Times New Roman" w:hAnsi="Times New Roman" w:cs="Times New Roman"/>
          <w:noProof/>
          <w:sz w:val="18"/>
          <w:szCs w:val="18"/>
        </w:rPr>
        <w:t xml:space="preserve">. </w:t>
      </w:r>
      <w:r w:rsidR="00E42858" w:rsidRPr="00BC4F33">
        <w:rPr>
          <w:rFonts w:ascii="Times New Roman" w:hAnsi="Times New Roman" w:cs="Times New Roman"/>
          <w:noProof/>
          <w:sz w:val="18"/>
          <w:szCs w:val="18"/>
        </w:rPr>
        <w:t xml:space="preserve">Il candidato dovrà </w:t>
      </w:r>
      <w:r w:rsidR="00EB00D1">
        <w:rPr>
          <w:rFonts w:ascii="Times New Roman" w:hAnsi="Times New Roman" w:cs="Times New Roman"/>
          <w:noProof/>
          <w:sz w:val="18"/>
          <w:szCs w:val="18"/>
        </w:rPr>
        <w:t xml:space="preserve">innanzitutto </w:t>
      </w:r>
      <w:r w:rsidR="004C0E02">
        <w:rPr>
          <w:rFonts w:ascii="Times New Roman" w:hAnsi="Times New Roman" w:cs="Times New Roman"/>
          <w:noProof/>
          <w:sz w:val="18"/>
          <w:szCs w:val="18"/>
        </w:rPr>
        <w:t xml:space="preserve">schedare una moneta proposta </w:t>
      </w:r>
      <w:r w:rsidR="00145BAD">
        <w:rPr>
          <w:rFonts w:ascii="Times New Roman" w:hAnsi="Times New Roman" w:cs="Times New Roman"/>
          <w:noProof/>
          <w:sz w:val="18"/>
          <w:szCs w:val="18"/>
        </w:rPr>
        <w:t xml:space="preserve">in fotografia </w:t>
      </w:r>
      <w:r w:rsidR="004C0E02">
        <w:rPr>
          <w:rFonts w:ascii="Times New Roman" w:hAnsi="Times New Roman" w:cs="Times New Roman"/>
          <w:noProof/>
          <w:sz w:val="18"/>
          <w:szCs w:val="18"/>
        </w:rPr>
        <w:t xml:space="preserve">dal docente e </w:t>
      </w:r>
      <w:r w:rsidR="00E42858" w:rsidRPr="00BC4F33">
        <w:rPr>
          <w:rFonts w:ascii="Times New Roman" w:hAnsi="Times New Roman" w:cs="Times New Roman"/>
          <w:noProof/>
          <w:sz w:val="18"/>
          <w:szCs w:val="18"/>
        </w:rPr>
        <w:t>dimostrare di saper</w:t>
      </w:r>
      <w:r w:rsidR="004C0E02">
        <w:rPr>
          <w:rFonts w:ascii="Times New Roman" w:hAnsi="Times New Roman" w:cs="Times New Roman"/>
          <w:noProof/>
          <w:sz w:val="18"/>
          <w:szCs w:val="18"/>
        </w:rPr>
        <w:t>ne</w:t>
      </w:r>
      <w:r w:rsidR="00E42858" w:rsidRPr="00BC4F33">
        <w:rPr>
          <w:rFonts w:ascii="Times New Roman" w:hAnsi="Times New Roman" w:cs="Times New Roman"/>
          <w:noProof/>
          <w:sz w:val="18"/>
          <w:szCs w:val="18"/>
        </w:rPr>
        <w:t xml:space="preserve"> leggere </w:t>
      </w:r>
      <w:r w:rsidR="004C0E02">
        <w:rPr>
          <w:rFonts w:ascii="Times New Roman" w:hAnsi="Times New Roman" w:cs="Times New Roman"/>
          <w:noProof/>
          <w:sz w:val="18"/>
          <w:szCs w:val="18"/>
        </w:rPr>
        <w:t xml:space="preserve">e </w:t>
      </w:r>
      <w:r w:rsidR="00E42858" w:rsidRPr="00BC4F33">
        <w:rPr>
          <w:rFonts w:ascii="Times New Roman" w:hAnsi="Times New Roman" w:cs="Times New Roman"/>
          <w:noProof/>
          <w:sz w:val="18"/>
          <w:szCs w:val="18"/>
        </w:rPr>
        <w:t xml:space="preserve">commentarne gli aspetti numismatici e storici. Un’esposizione insufficiente di questa prima parte non permette di continuare l’esame. </w:t>
      </w:r>
      <w:r w:rsidRPr="00BC4F33">
        <w:rPr>
          <w:rFonts w:ascii="Times New Roman" w:hAnsi="Times New Roman" w:cs="Times New Roman"/>
          <w:noProof/>
          <w:sz w:val="18"/>
          <w:szCs w:val="18"/>
        </w:rPr>
        <w:t xml:space="preserve">Superata positivamente tale prova, seguirà un colloquio teso all’accertamento dell’acquisizione e della corretta comprensione dei contenuti del corso. Il voto finale terrà conto dell’esattezza e della qualità delle risposte, della abilità comunicativa del candidato, dell’uso corretto del linguaggio specialistico, della </w:t>
      </w:r>
      <w:r w:rsidR="00145BAD">
        <w:rPr>
          <w:rFonts w:ascii="Times New Roman" w:hAnsi="Times New Roman" w:cs="Times New Roman"/>
          <w:noProof/>
          <w:sz w:val="18"/>
          <w:szCs w:val="18"/>
        </w:rPr>
        <w:t xml:space="preserve">sua </w:t>
      </w:r>
      <w:r w:rsidRPr="00BC4F33">
        <w:rPr>
          <w:rFonts w:ascii="Times New Roman" w:hAnsi="Times New Roman" w:cs="Times New Roman"/>
          <w:noProof/>
          <w:sz w:val="18"/>
          <w:szCs w:val="18"/>
        </w:rPr>
        <w:t>capacità di motivare adeguatamente affermazioni, analisi e giudizi.</w:t>
      </w:r>
    </w:p>
    <w:p w14:paraId="69E0EAE3" w14:textId="77777777" w:rsidR="00E53E51" w:rsidRPr="00BC4F33" w:rsidRDefault="00E53E51" w:rsidP="00E53E51">
      <w:pPr>
        <w:spacing w:before="240" w:after="120"/>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AVVERTENZE e PREREQUISITI</w:t>
      </w:r>
    </w:p>
    <w:p w14:paraId="74A00850" w14:textId="77777777" w:rsidR="00E53E51" w:rsidRPr="00BC4F33" w:rsidRDefault="00E53E51" w:rsidP="00BC4F33">
      <w:pPr>
        <w:spacing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lastRenderedPageBreak/>
        <w:t>Prerequisti</w:t>
      </w:r>
    </w:p>
    <w:p w14:paraId="3A6BDCF3" w14:textId="77777777" w:rsidR="00E53E51" w:rsidRPr="00BC4F33" w:rsidRDefault="00E53E51" w:rsidP="00BC4F33">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 modulo</w:t>
      </w:r>
    </w:p>
    <w:p w14:paraId="570821BB" w14:textId="36C72635" w:rsidR="00E53E51" w:rsidRPr="00BC4F33" w:rsidRDefault="00E53E51" w:rsidP="00715F31">
      <w:pPr>
        <w:spacing w:after="120" w:line="220" w:lineRule="exact"/>
        <w:ind w:firstLine="284"/>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Trattandosi di un corso di carattere introduttivo, che affronta lo studio di materiali del tutto sconosciuti agli studenti delle Lauree Triennali o a quelli delle Lauree Magistrali che non </w:t>
      </w:r>
      <w:r w:rsidR="00535DEC">
        <w:rPr>
          <w:rFonts w:ascii="Times New Roman" w:hAnsi="Times New Roman" w:cs="Times New Roman"/>
          <w:noProof/>
          <w:sz w:val="18"/>
          <w:szCs w:val="18"/>
        </w:rPr>
        <w:t>avessero</w:t>
      </w:r>
      <w:r w:rsidRPr="00BC4F33">
        <w:rPr>
          <w:rFonts w:ascii="Times New Roman" w:hAnsi="Times New Roman" w:cs="Times New Roman"/>
          <w:noProof/>
          <w:sz w:val="18"/>
          <w:szCs w:val="18"/>
        </w:rPr>
        <w:t xml:space="preserve"> </w:t>
      </w:r>
      <w:r w:rsidRPr="00BC4F33">
        <w:rPr>
          <w:rFonts w:ascii="Times New Roman" w:eastAsia="Calibri" w:hAnsi="Times New Roman" w:cs="Times New Roman"/>
          <w:sz w:val="18"/>
          <w:szCs w:val="18"/>
        </w:rPr>
        <w:t xml:space="preserve">seguito un insegnamento di Numismatica nel loro procedente percorso di studi, </w:t>
      </w:r>
      <w:r w:rsidRPr="00BC4F33">
        <w:rPr>
          <w:rFonts w:ascii="Times New Roman" w:hAnsi="Times New Roman" w:cs="Times New Roman"/>
          <w:noProof/>
          <w:sz w:val="18"/>
          <w:szCs w:val="18"/>
        </w:rPr>
        <w:t xml:space="preserve">si presuppone soltanto una pregressa conoscenza manualistica della Storia greca e della Storia romana, completata dagli insegnamenti frequentati contemporaneamente. Evenutali mancanze saranno verificate durante le lezioni e colmate da specifici interventi. </w:t>
      </w:r>
    </w:p>
    <w:p w14:paraId="6E02D966" w14:textId="77777777" w:rsidR="00E42858" w:rsidRPr="00BC4F33" w:rsidRDefault="00E53E51" w:rsidP="00715F31">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14:paraId="7E5B0F6B" w14:textId="77777777" w:rsidR="00E53E51" w:rsidRPr="00BC4F33" w:rsidRDefault="00E53E51" w:rsidP="00715F31">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noProof/>
          <w:sz w:val="18"/>
          <w:szCs w:val="18"/>
        </w:rPr>
        <w:t xml:space="preserve">Il </w:t>
      </w:r>
      <w:r w:rsidR="00E42858" w:rsidRPr="00BC4F33">
        <w:rPr>
          <w:rFonts w:ascii="Times New Roman" w:hAnsi="Times New Roman" w:cs="Times New Roman"/>
          <w:noProof/>
          <w:sz w:val="18"/>
          <w:szCs w:val="18"/>
        </w:rPr>
        <w:t>modulo</w:t>
      </w:r>
      <w:r w:rsidRPr="00BC4F33">
        <w:rPr>
          <w:rFonts w:ascii="Times New Roman" w:hAnsi="Times New Roman" w:cs="Times New Roman"/>
          <w:noProof/>
          <w:sz w:val="18"/>
          <w:szCs w:val="18"/>
        </w:rPr>
        <w:t xml:space="preserve">, indirizzato </w:t>
      </w:r>
      <w:r w:rsidRPr="00BC4F33">
        <w:rPr>
          <w:rFonts w:ascii="Times New Roman" w:eastAsia="Calibri" w:hAnsi="Times New Roman" w:cs="Times New Roman"/>
          <w:sz w:val="18"/>
          <w:szCs w:val="18"/>
        </w:rPr>
        <w:t xml:space="preserve">agli studenti delle Lauree Magistrali che hanno già seguito un insegnamento di Numismatica nel loro procedente percorso di studi, richiede la conoscenza delle principali problematiche della disciplina, quanto a lessico e sviluppo storico della monetazione nel mondo antico. </w:t>
      </w:r>
      <w:r w:rsidRPr="00BC4F33">
        <w:rPr>
          <w:rFonts w:ascii="Times New Roman" w:hAnsi="Times New Roman" w:cs="Times New Roman"/>
          <w:noProof/>
          <w:sz w:val="18"/>
          <w:szCs w:val="18"/>
        </w:rPr>
        <w:t>Evenutali mancanze saranno verificate durante le lezioni e colmate da specifici letture indicate dal docente.</w:t>
      </w:r>
    </w:p>
    <w:p w14:paraId="066B7555" w14:textId="77777777" w:rsidR="00E53E51" w:rsidRPr="00BC4F33" w:rsidRDefault="00E53E51" w:rsidP="00715F31">
      <w:pPr>
        <w:spacing w:after="0"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t>Orario e luogo di ricevimento</w:t>
      </w:r>
    </w:p>
    <w:p w14:paraId="63810249" w14:textId="77777777" w:rsidR="00E53E51" w:rsidRPr="00BC4F33" w:rsidRDefault="00E53E51" w:rsidP="00BC4F33">
      <w:pPr>
        <w:pStyle w:val="Testo2"/>
        <w:rPr>
          <w:rFonts w:ascii="Times New Roman" w:hAnsi="Times New Roman"/>
          <w:szCs w:val="18"/>
        </w:rPr>
      </w:pPr>
      <w:r w:rsidRPr="00BC4F33">
        <w:rPr>
          <w:rFonts w:ascii="Times New Roman" w:hAnsi="Times New Roman"/>
          <w:szCs w:val="18"/>
        </w:rPr>
        <w:t xml:space="preserve">Il Prof. Claudia Perassi riceve gli studenti il mercoledì </w:t>
      </w:r>
      <w:r w:rsidR="00E42858" w:rsidRPr="00BC4F33">
        <w:rPr>
          <w:rFonts w:ascii="Times New Roman" w:hAnsi="Times New Roman"/>
          <w:szCs w:val="18"/>
        </w:rPr>
        <w:t xml:space="preserve">mattina nel </w:t>
      </w:r>
      <w:r w:rsidRPr="00BC4F33">
        <w:rPr>
          <w:rFonts w:ascii="Times New Roman" w:hAnsi="Times New Roman"/>
          <w:szCs w:val="18"/>
        </w:rPr>
        <w:t>suo studio, ubicato presso la Sezione archeologica del Dipartimento di Storia, Archeologia e Storia dell’Arte (Franciscanum, IV</w:t>
      </w:r>
      <w:r w:rsidR="00E42858" w:rsidRPr="00BC4F33">
        <w:rPr>
          <w:rFonts w:ascii="Times New Roman" w:hAnsi="Times New Roman"/>
          <w:szCs w:val="18"/>
        </w:rPr>
        <w:t xml:space="preserve"> piano</w:t>
      </w:r>
      <w:r w:rsidRPr="00BC4F33">
        <w:rPr>
          <w:rFonts w:ascii="Times New Roman" w:hAnsi="Times New Roman"/>
          <w:szCs w:val="18"/>
        </w:rPr>
        <w:t xml:space="preserve">). </w:t>
      </w:r>
    </w:p>
    <w:p w14:paraId="1FA0D834" w14:textId="77777777" w:rsidR="00E53E51" w:rsidRPr="00BC4F33" w:rsidRDefault="00E53E51" w:rsidP="00E53E51">
      <w:pPr>
        <w:jc w:val="both"/>
        <w:rPr>
          <w:rFonts w:ascii="Times New Roman" w:hAnsi="Times New Roman" w:cs="Times New Roman"/>
          <w:sz w:val="18"/>
          <w:szCs w:val="18"/>
        </w:rPr>
      </w:pPr>
    </w:p>
    <w:sectPr w:rsidR="00E53E51" w:rsidRPr="00BC4F33" w:rsidSect="00BC4F33">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E7D3" w14:textId="77777777" w:rsidR="00C81A85" w:rsidRDefault="00C81A85" w:rsidP="00C81A85">
      <w:pPr>
        <w:spacing w:after="0" w:line="240" w:lineRule="auto"/>
      </w:pPr>
      <w:r>
        <w:separator/>
      </w:r>
    </w:p>
  </w:endnote>
  <w:endnote w:type="continuationSeparator" w:id="0">
    <w:p w14:paraId="5D652C6A" w14:textId="77777777" w:rsidR="00C81A85" w:rsidRDefault="00C81A85" w:rsidP="00C8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F873" w14:textId="77777777" w:rsidR="00C81A85" w:rsidRDefault="00C81A85" w:rsidP="00C81A85">
      <w:pPr>
        <w:spacing w:after="0" w:line="240" w:lineRule="auto"/>
      </w:pPr>
      <w:r>
        <w:separator/>
      </w:r>
    </w:p>
  </w:footnote>
  <w:footnote w:type="continuationSeparator" w:id="0">
    <w:p w14:paraId="5DD696EE" w14:textId="77777777" w:rsidR="00C81A85" w:rsidRDefault="00C81A85" w:rsidP="00C81A85">
      <w:pPr>
        <w:spacing w:after="0" w:line="240" w:lineRule="auto"/>
      </w:pPr>
      <w:r>
        <w:continuationSeparator/>
      </w:r>
    </w:p>
  </w:footnote>
  <w:footnote w:id="1">
    <w:p w14:paraId="396E198A" w14:textId="77777777" w:rsidR="00C81A85" w:rsidRPr="006E6765" w:rsidRDefault="00C81A85" w:rsidP="00C81A85">
      <w:pPr>
        <w:rPr>
          <w:rFonts w:ascii="Times New Roman" w:hAnsi="Times New Roman" w:cs="Times New Roman"/>
          <w:sz w:val="18"/>
          <w:szCs w:val="18"/>
        </w:rPr>
      </w:pPr>
      <w:r>
        <w:rPr>
          <w:rStyle w:val="Rimandonotaapidipagina"/>
        </w:rPr>
        <w:footnoteRef/>
      </w:r>
      <w:r>
        <w:t xml:space="preserve"> </w:t>
      </w:r>
      <w:r w:rsidRPr="006E6765">
        <w:rPr>
          <w:rFonts w:ascii="Times New Roman" w:hAnsi="Times New Roman" w:cs="Times New Roman"/>
          <w:sz w:val="18"/>
          <w:szCs w:val="18"/>
        </w:rPr>
        <w:t>I testi indicati nella bibliografia sono acquistabili presso le librerie di Ateneo; è possibile acquistarli anche presso altri rivenditori</w:t>
      </w:r>
    </w:p>
    <w:p w14:paraId="0A5DF897" w14:textId="3FF679AF" w:rsidR="00C81A85" w:rsidRDefault="00C81A8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69"/>
    <w:multiLevelType w:val="hybridMultilevel"/>
    <w:tmpl w:val="B100F2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1"/>
    <w:rsid w:val="00006D3C"/>
    <w:rsid w:val="00011076"/>
    <w:rsid w:val="00020D37"/>
    <w:rsid w:val="00021279"/>
    <w:rsid w:val="00026248"/>
    <w:rsid w:val="00090ED0"/>
    <w:rsid w:val="000A6DFA"/>
    <w:rsid w:val="000B5E94"/>
    <w:rsid w:val="000B5F70"/>
    <w:rsid w:val="00102930"/>
    <w:rsid w:val="00135D4A"/>
    <w:rsid w:val="00137EAD"/>
    <w:rsid w:val="00141422"/>
    <w:rsid w:val="00145BAD"/>
    <w:rsid w:val="001719DB"/>
    <w:rsid w:val="0017587D"/>
    <w:rsid w:val="001A42B9"/>
    <w:rsid w:val="001C7E9A"/>
    <w:rsid w:val="002164B5"/>
    <w:rsid w:val="00305D5A"/>
    <w:rsid w:val="0031488C"/>
    <w:rsid w:val="00352F31"/>
    <w:rsid w:val="003546C3"/>
    <w:rsid w:val="0036088F"/>
    <w:rsid w:val="00365288"/>
    <w:rsid w:val="003943A3"/>
    <w:rsid w:val="003A516B"/>
    <w:rsid w:val="004159D6"/>
    <w:rsid w:val="00442247"/>
    <w:rsid w:val="004665AF"/>
    <w:rsid w:val="00497D0D"/>
    <w:rsid w:val="004B1F6E"/>
    <w:rsid w:val="004B31F2"/>
    <w:rsid w:val="004C0E02"/>
    <w:rsid w:val="004E0C5E"/>
    <w:rsid w:val="004E687B"/>
    <w:rsid w:val="00523808"/>
    <w:rsid w:val="00526E66"/>
    <w:rsid w:val="00535DEC"/>
    <w:rsid w:val="0055341E"/>
    <w:rsid w:val="00557689"/>
    <w:rsid w:val="00574624"/>
    <w:rsid w:val="00590F46"/>
    <w:rsid w:val="005A4191"/>
    <w:rsid w:val="005F2F24"/>
    <w:rsid w:val="006512DB"/>
    <w:rsid w:val="00691F17"/>
    <w:rsid w:val="006D44A5"/>
    <w:rsid w:val="006D57AC"/>
    <w:rsid w:val="007135C1"/>
    <w:rsid w:val="00715F31"/>
    <w:rsid w:val="00750F0F"/>
    <w:rsid w:val="00776911"/>
    <w:rsid w:val="00782D3B"/>
    <w:rsid w:val="00787DA0"/>
    <w:rsid w:val="0079659E"/>
    <w:rsid w:val="007A734C"/>
    <w:rsid w:val="007C374F"/>
    <w:rsid w:val="007C631F"/>
    <w:rsid w:val="007D5C51"/>
    <w:rsid w:val="007F635D"/>
    <w:rsid w:val="00800D61"/>
    <w:rsid w:val="00803C33"/>
    <w:rsid w:val="00812BC2"/>
    <w:rsid w:val="00816FD3"/>
    <w:rsid w:val="00836155"/>
    <w:rsid w:val="00863289"/>
    <w:rsid w:val="00870AD1"/>
    <w:rsid w:val="008B7CB6"/>
    <w:rsid w:val="008C56FA"/>
    <w:rsid w:val="008C7D78"/>
    <w:rsid w:val="008D51ED"/>
    <w:rsid w:val="008E23C6"/>
    <w:rsid w:val="008E631C"/>
    <w:rsid w:val="00905130"/>
    <w:rsid w:val="00947048"/>
    <w:rsid w:val="00966084"/>
    <w:rsid w:val="009B31CF"/>
    <w:rsid w:val="009E73D1"/>
    <w:rsid w:val="009F01A7"/>
    <w:rsid w:val="009F32ED"/>
    <w:rsid w:val="009F4387"/>
    <w:rsid w:val="00A07948"/>
    <w:rsid w:val="00A07BC7"/>
    <w:rsid w:val="00A73119"/>
    <w:rsid w:val="00A86F6A"/>
    <w:rsid w:val="00AA55A0"/>
    <w:rsid w:val="00AB5D19"/>
    <w:rsid w:val="00AC079E"/>
    <w:rsid w:val="00AD2F05"/>
    <w:rsid w:val="00AD7B57"/>
    <w:rsid w:val="00B231B3"/>
    <w:rsid w:val="00B562F9"/>
    <w:rsid w:val="00B64FDB"/>
    <w:rsid w:val="00B66E89"/>
    <w:rsid w:val="00B8386E"/>
    <w:rsid w:val="00BC16FA"/>
    <w:rsid w:val="00BC4F33"/>
    <w:rsid w:val="00BE66CA"/>
    <w:rsid w:val="00C041EF"/>
    <w:rsid w:val="00C15E97"/>
    <w:rsid w:val="00C22B16"/>
    <w:rsid w:val="00C81262"/>
    <w:rsid w:val="00C81A85"/>
    <w:rsid w:val="00C844DE"/>
    <w:rsid w:val="00C9110C"/>
    <w:rsid w:val="00CA35AE"/>
    <w:rsid w:val="00CB418E"/>
    <w:rsid w:val="00CB6A9B"/>
    <w:rsid w:val="00CD662D"/>
    <w:rsid w:val="00CE3952"/>
    <w:rsid w:val="00D16C26"/>
    <w:rsid w:val="00D420D2"/>
    <w:rsid w:val="00D64273"/>
    <w:rsid w:val="00D829C3"/>
    <w:rsid w:val="00DA5298"/>
    <w:rsid w:val="00DC50E1"/>
    <w:rsid w:val="00DE54EC"/>
    <w:rsid w:val="00DF09FE"/>
    <w:rsid w:val="00E111EC"/>
    <w:rsid w:val="00E2182B"/>
    <w:rsid w:val="00E252D9"/>
    <w:rsid w:val="00E378D6"/>
    <w:rsid w:val="00E42858"/>
    <w:rsid w:val="00E46D82"/>
    <w:rsid w:val="00E50830"/>
    <w:rsid w:val="00E53E51"/>
    <w:rsid w:val="00E720AD"/>
    <w:rsid w:val="00E85F91"/>
    <w:rsid w:val="00EB00D1"/>
    <w:rsid w:val="00EC698C"/>
    <w:rsid w:val="00EC6B41"/>
    <w:rsid w:val="00ED0140"/>
    <w:rsid w:val="00ED15F7"/>
    <w:rsid w:val="00ED7EBA"/>
    <w:rsid w:val="00EE7C1A"/>
    <w:rsid w:val="00EF269B"/>
    <w:rsid w:val="00F05C0E"/>
    <w:rsid w:val="00F350FB"/>
    <w:rsid w:val="00F52A01"/>
    <w:rsid w:val="00F70388"/>
    <w:rsid w:val="00F94A37"/>
    <w:rsid w:val="00FD1AB4"/>
    <w:rsid w:val="00FE01B9"/>
    <w:rsid w:val="00FF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C81A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1A85"/>
    <w:rPr>
      <w:sz w:val="20"/>
      <w:szCs w:val="20"/>
    </w:rPr>
  </w:style>
  <w:style w:type="character" w:styleId="Rimandonotaapidipagina">
    <w:name w:val="footnote reference"/>
    <w:basedOn w:val="Carpredefinitoparagrafo"/>
    <w:uiPriority w:val="99"/>
    <w:semiHidden/>
    <w:unhideWhenUsed/>
    <w:rsid w:val="00C81A85"/>
    <w:rPr>
      <w:vertAlign w:val="superscript"/>
    </w:rPr>
  </w:style>
  <w:style w:type="character" w:styleId="Collegamentoipertestuale">
    <w:name w:val="Hyperlink"/>
    <w:basedOn w:val="Carpredefinitoparagrafo"/>
    <w:uiPriority w:val="99"/>
    <w:unhideWhenUsed/>
    <w:rsid w:val="00C81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C81A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1A85"/>
    <w:rPr>
      <w:sz w:val="20"/>
      <w:szCs w:val="20"/>
    </w:rPr>
  </w:style>
  <w:style w:type="character" w:styleId="Rimandonotaapidipagina">
    <w:name w:val="footnote reference"/>
    <w:basedOn w:val="Carpredefinitoparagrafo"/>
    <w:uiPriority w:val="99"/>
    <w:semiHidden/>
    <w:unhideWhenUsed/>
    <w:rsid w:val="00C81A85"/>
    <w:rPr>
      <w:vertAlign w:val="superscript"/>
    </w:rPr>
  </w:style>
  <w:style w:type="character" w:styleId="Collegamentoipertestuale">
    <w:name w:val="Hyperlink"/>
    <w:basedOn w:val="Carpredefinitoparagrafo"/>
    <w:uiPriority w:val="99"/>
    <w:unhideWhenUsed/>
    <w:rsid w:val="00C81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1032">
      <w:bodyDiv w:val="1"/>
      <w:marLeft w:val="0"/>
      <w:marRight w:val="0"/>
      <w:marTop w:val="0"/>
      <w:marBottom w:val="0"/>
      <w:divBdr>
        <w:top w:val="none" w:sz="0" w:space="0" w:color="auto"/>
        <w:left w:val="none" w:sz="0" w:space="0" w:color="auto"/>
        <w:bottom w:val="none" w:sz="0" w:space="0" w:color="auto"/>
        <w:right w:val="none" w:sz="0" w:space="0" w:color="auto"/>
      </w:divBdr>
    </w:div>
    <w:div w:id="777721844">
      <w:bodyDiv w:val="1"/>
      <w:marLeft w:val="0"/>
      <w:marRight w:val="0"/>
      <w:marTop w:val="0"/>
      <w:marBottom w:val="0"/>
      <w:divBdr>
        <w:top w:val="none" w:sz="0" w:space="0" w:color="auto"/>
        <w:left w:val="none" w:sz="0" w:space="0" w:color="auto"/>
        <w:bottom w:val="none" w:sz="0" w:space="0" w:color="auto"/>
        <w:right w:val="none" w:sz="0" w:space="0" w:color="auto"/>
      </w:divBdr>
    </w:div>
    <w:div w:id="8640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avio-adriano/monete-romane-9788878012912-17600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65F6-5054-4BF7-9355-9939E5E7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OCA</dc:creator>
  <cp:lastModifiedBy>Locci Amedeo</cp:lastModifiedBy>
  <cp:revision>4</cp:revision>
  <dcterms:created xsi:type="dcterms:W3CDTF">2022-05-30T09:03:00Z</dcterms:created>
  <dcterms:modified xsi:type="dcterms:W3CDTF">2022-07-21T06:41:00Z</dcterms:modified>
</cp:coreProperties>
</file>