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30291" w14:textId="77777777" w:rsidR="002D5E17" w:rsidRDefault="00BA3D39" w:rsidP="002D5E17">
      <w:pPr>
        <w:pStyle w:val="Titolo1"/>
      </w:pPr>
      <w:r>
        <w:t>Filologia medievale e umanistica</w:t>
      </w:r>
    </w:p>
    <w:p w14:paraId="03066512" w14:textId="77777777" w:rsidR="00BA3D39" w:rsidRDefault="00BA3D39" w:rsidP="00BA3D39">
      <w:pPr>
        <w:pStyle w:val="Titolo2"/>
      </w:pPr>
      <w:r>
        <w:t>Prof. Carla Maria Monti</w:t>
      </w:r>
    </w:p>
    <w:p w14:paraId="276028B3" w14:textId="77777777" w:rsidR="00BA3D39" w:rsidRDefault="00BA3D39" w:rsidP="00BA3D3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F06279C" w14:textId="77777777" w:rsidR="00494F28" w:rsidRPr="00283371" w:rsidRDefault="00494F28" w:rsidP="00494F28">
      <w:pPr>
        <w:pStyle w:val="Titolo2"/>
        <w:rPr>
          <w:rFonts w:ascii="Times New Roman" w:hAnsi="Times New Roman"/>
        </w:rPr>
      </w:pPr>
      <w:bookmarkStart w:id="0" w:name="_Toc53670058"/>
      <w:bookmarkStart w:id="1" w:name="_Toc53733251"/>
      <w:bookmarkStart w:id="2" w:name="_Toc53733574"/>
      <w:r w:rsidRPr="00283371">
        <w:rPr>
          <w:rFonts w:ascii="Times New Roman" w:hAnsi="Times New Roman"/>
        </w:rPr>
        <w:t>I Modulo</w:t>
      </w:r>
      <w:bookmarkEnd w:id="0"/>
      <w:bookmarkEnd w:id="1"/>
      <w:bookmarkEnd w:id="2"/>
    </w:p>
    <w:p w14:paraId="1A2A4837" w14:textId="77777777" w:rsidR="00494F28" w:rsidRPr="00283371" w:rsidRDefault="00494F28" w:rsidP="00494F28">
      <w:pPr>
        <w:spacing w:line="240" w:lineRule="exact"/>
        <w:rPr>
          <w:rFonts w:eastAsia="Calibri"/>
        </w:rPr>
      </w:pPr>
      <w:r w:rsidRPr="00283371">
        <w:rPr>
          <w:rFonts w:eastAsia="MS Mincho"/>
        </w:rPr>
        <w:t>Il corso si propone di introdurre alla conoscenza dell’Umanesimo attraverso gli strumenti della letteratura, della filologia e della storia della cultura, guardando in particolare alla preponderante produzione in lingua latina (ma i testi saranno sempre forniti di traduzione o tradotti). Verrà considerato l’apporto essenziale delle fonti classiche e patristiche, di cui l’Umanesimo rinnova la conoscenza, nell’elaborazione di nuovi generi letterari e il contributo del metodo filologico nell’approccio ai testi.</w:t>
      </w:r>
      <w:r w:rsidRPr="00283371">
        <w:t xml:space="preserve"> </w:t>
      </w:r>
      <w:r w:rsidRPr="00283371">
        <w:rPr>
          <w:rFonts w:eastAsia="Calibri"/>
        </w:rPr>
        <w:t xml:space="preserve">Al termine del corso lo studente sarà in grado di </w:t>
      </w:r>
      <w:r>
        <w:rPr>
          <w:rFonts w:eastAsia="Calibri"/>
        </w:rPr>
        <w:t>ri</w:t>
      </w:r>
      <w:r w:rsidRPr="00283371">
        <w:rPr>
          <w:rFonts w:eastAsia="Calibri"/>
        </w:rPr>
        <w:t>conoscere Petrarca e Boccaccio quali iniziatori del movimento umanistico attraverso l’esame della loro notevolissima produzione latina</w:t>
      </w:r>
      <w:r>
        <w:rPr>
          <w:rFonts w:eastAsia="Calibri"/>
        </w:rPr>
        <w:t xml:space="preserve"> e di distinguere il diverso </w:t>
      </w:r>
      <w:r w:rsidRPr="00283371">
        <w:t xml:space="preserve">approccio </w:t>
      </w:r>
      <w:r>
        <w:t>avuto da</w:t>
      </w:r>
      <w:r w:rsidRPr="00283371">
        <w:t xml:space="preserve"> Dante nei confronti dell’eredità classica</w:t>
      </w:r>
      <w:r w:rsidRPr="00283371">
        <w:rPr>
          <w:rFonts w:eastAsia="Calibri"/>
        </w:rPr>
        <w:t xml:space="preserve">. Avrà </w:t>
      </w:r>
      <w:r>
        <w:rPr>
          <w:rFonts w:eastAsia="Calibri"/>
        </w:rPr>
        <w:t xml:space="preserve">inoltre </w:t>
      </w:r>
      <w:r w:rsidRPr="00283371">
        <w:rPr>
          <w:rFonts w:eastAsia="Calibri"/>
        </w:rPr>
        <w:t xml:space="preserve">consapevolezza del rilancio dei classici latini e greci, del rinnovamento dei generi letterari </w:t>
      </w:r>
      <w:r>
        <w:rPr>
          <w:rFonts w:eastAsia="Calibri"/>
        </w:rPr>
        <w:t>avvenuto in questo periodo</w:t>
      </w:r>
      <w:r w:rsidRPr="00283371">
        <w:rPr>
          <w:rFonts w:eastAsia="Calibri"/>
        </w:rPr>
        <w:t xml:space="preserve"> e </w:t>
      </w:r>
      <w:r>
        <w:rPr>
          <w:rFonts w:eastAsia="Calibri"/>
        </w:rPr>
        <w:t xml:space="preserve">del profilo culturale </w:t>
      </w:r>
      <w:r w:rsidRPr="00283371">
        <w:rPr>
          <w:rFonts w:eastAsia="Calibri"/>
        </w:rPr>
        <w:t>dei principali letterati del Quattrocento</w:t>
      </w:r>
      <w:r>
        <w:rPr>
          <w:rFonts w:eastAsia="Calibri"/>
        </w:rPr>
        <w:t>,</w:t>
      </w:r>
      <w:r w:rsidRPr="00283371">
        <w:rPr>
          <w:rFonts w:eastAsia="Calibri"/>
        </w:rPr>
        <w:t xml:space="preserve"> </w:t>
      </w:r>
      <w:r>
        <w:rPr>
          <w:rFonts w:eastAsia="Calibri"/>
        </w:rPr>
        <w:t>promotori di</w:t>
      </w:r>
      <w:r w:rsidRPr="00283371">
        <w:rPr>
          <w:rFonts w:eastAsia="Calibri"/>
        </w:rPr>
        <w:t xml:space="preserve"> un movimento che ha segnato in modo permanente la cultura occidentale. </w:t>
      </w:r>
    </w:p>
    <w:p w14:paraId="632136D4" w14:textId="77777777" w:rsidR="00494F28" w:rsidRPr="0049107D" w:rsidRDefault="00494F28" w:rsidP="00494F28">
      <w:pPr>
        <w:pStyle w:val="Titolo2"/>
        <w:spacing w:before="120"/>
        <w:rPr>
          <w:rFonts w:ascii="Times New Roman" w:hAnsi="Times New Roman"/>
        </w:rPr>
      </w:pPr>
      <w:bookmarkStart w:id="3" w:name="_Toc53670059"/>
      <w:bookmarkStart w:id="4" w:name="_Toc53733252"/>
      <w:bookmarkStart w:id="5" w:name="_Toc53733575"/>
      <w:r w:rsidRPr="00283371">
        <w:rPr>
          <w:rFonts w:ascii="Times New Roman" w:hAnsi="Times New Roman"/>
        </w:rPr>
        <w:t>Modulo A</w:t>
      </w:r>
      <w:bookmarkEnd w:id="3"/>
      <w:bookmarkEnd w:id="4"/>
      <w:bookmarkEnd w:id="5"/>
    </w:p>
    <w:p w14:paraId="0C413C7C" w14:textId="77777777" w:rsidR="00494F28" w:rsidRPr="00286977" w:rsidRDefault="00F33D2B" w:rsidP="00494F28">
      <w:pPr>
        <w:spacing w:line="240" w:lineRule="exact"/>
        <w:rPr>
          <w:rFonts w:eastAsia="MS Mincho"/>
        </w:rPr>
      </w:pPr>
      <w:r>
        <w:rPr>
          <w:rFonts w:eastAsia="MS Mincho"/>
        </w:rPr>
        <w:t xml:space="preserve">Nel dicembre 1350 </w:t>
      </w:r>
      <w:r w:rsidR="00975221">
        <w:rPr>
          <w:rFonts w:eastAsia="MS Mincho"/>
        </w:rPr>
        <w:t xml:space="preserve">Petrarca ricevette in dono da </w:t>
      </w:r>
      <w:r>
        <w:rPr>
          <w:rFonts w:eastAsia="MS Mincho"/>
        </w:rPr>
        <w:t>Lapo da Castiglionchio un codice con l’</w:t>
      </w:r>
      <w:r w:rsidRPr="00F33D2B">
        <w:rPr>
          <w:rFonts w:eastAsia="MS Mincho"/>
          <w:i/>
        </w:rPr>
        <w:t>Institutio oratoria</w:t>
      </w:r>
      <w:r>
        <w:rPr>
          <w:rFonts w:eastAsia="MS Mincho"/>
        </w:rPr>
        <w:t xml:space="preserve"> </w:t>
      </w:r>
      <w:r w:rsidR="00D133B9">
        <w:rPr>
          <w:rFonts w:eastAsia="MS Mincho"/>
        </w:rPr>
        <w:t xml:space="preserve">mutila </w:t>
      </w:r>
      <w:r>
        <w:rPr>
          <w:rFonts w:eastAsia="MS Mincho"/>
        </w:rPr>
        <w:t>di Quintiliano</w:t>
      </w:r>
      <w:r w:rsidR="00975221">
        <w:rPr>
          <w:rFonts w:eastAsia="MS Mincho"/>
        </w:rPr>
        <w:t>,</w:t>
      </w:r>
      <w:r w:rsidR="005602E7">
        <w:rPr>
          <w:rFonts w:eastAsia="MS Mincho"/>
        </w:rPr>
        <w:t xml:space="preserve"> </w:t>
      </w:r>
      <w:r w:rsidR="00D133B9">
        <w:rPr>
          <w:rFonts w:eastAsia="MS Mincho"/>
        </w:rPr>
        <w:t xml:space="preserve">opera </w:t>
      </w:r>
      <w:r w:rsidR="005602E7">
        <w:rPr>
          <w:rFonts w:eastAsia="MS Mincho"/>
        </w:rPr>
        <w:t>che non conosceva</w:t>
      </w:r>
      <w:r w:rsidR="00D133B9">
        <w:rPr>
          <w:rFonts w:eastAsia="MS Mincho"/>
        </w:rPr>
        <w:t>,</w:t>
      </w:r>
      <w:r>
        <w:rPr>
          <w:rFonts w:eastAsia="MS Mincho"/>
        </w:rPr>
        <w:t xml:space="preserve"> e subito rivolse una lettera al grande retore e maestro antico (</w:t>
      </w:r>
      <w:r w:rsidRPr="00F33D2B">
        <w:rPr>
          <w:rFonts w:eastAsia="MS Mincho"/>
          <w:i/>
        </w:rPr>
        <w:t>Fam</w:t>
      </w:r>
      <w:r>
        <w:rPr>
          <w:rFonts w:eastAsia="MS Mincho"/>
        </w:rPr>
        <w:t xml:space="preserve">. XXIV 7). Nel 1416 Poggio trovò nel monastero di San Gallo, tra altri codici con opere antiche ignote, un Quintiliano integro e anch’egli scrisse una famosa lettera </w:t>
      </w:r>
      <w:r w:rsidR="00375375">
        <w:rPr>
          <w:rFonts w:eastAsia="MS Mincho"/>
        </w:rPr>
        <w:t>in cui raccontò in modo</w:t>
      </w:r>
      <w:r>
        <w:rPr>
          <w:rFonts w:eastAsia="MS Mincho"/>
        </w:rPr>
        <w:t xml:space="preserve"> epico tale scoperta.</w:t>
      </w:r>
      <w:r w:rsidR="005602E7">
        <w:rPr>
          <w:rFonts w:eastAsia="MS Mincho"/>
        </w:rPr>
        <w:t xml:space="preserve"> La stessa spedizione a San Gallo fu raccontata in una delle sue poche lettere anche da Cencio Rustici, compagno di Poggio nell’impresa, che </w:t>
      </w:r>
      <w:r w:rsidR="00D133B9">
        <w:rPr>
          <w:rFonts w:eastAsia="MS Mincho"/>
        </w:rPr>
        <w:t xml:space="preserve">invece </w:t>
      </w:r>
      <w:r w:rsidR="005602E7">
        <w:rPr>
          <w:rFonts w:eastAsia="MS Mincho"/>
        </w:rPr>
        <w:t>non fece alcun accenno a Quintiliano</w:t>
      </w:r>
      <w:r w:rsidR="00375375">
        <w:rPr>
          <w:rFonts w:eastAsia="MS Mincho"/>
        </w:rPr>
        <w:t>,</w:t>
      </w:r>
      <w:r w:rsidR="005602E7">
        <w:rPr>
          <w:rFonts w:eastAsia="MS Mincho"/>
        </w:rPr>
        <w:t xml:space="preserve"> ma esaltò con forti accenti antiquari il recupero di altre opere del tutto ignote.</w:t>
      </w:r>
      <w:r w:rsidR="00375375">
        <w:rPr>
          <w:rFonts w:eastAsia="MS Mincho"/>
        </w:rPr>
        <w:t xml:space="preserve"> </w:t>
      </w:r>
      <w:r w:rsidR="00494F28">
        <w:rPr>
          <w:rFonts w:eastAsia="MS Mincho"/>
        </w:rPr>
        <w:t xml:space="preserve">Durante il corso verranno esaminate le </w:t>
      </w:r>
      <w:r w:rsidR="00375375">
        <w:rPr>
          <w:rFonts w:eastAsia="MS Mincho"/>
        </w:rPr>
        <w:t>tre lettere di Petrarca, Poggio Bracciolini e Cencio Rustici nella prospettiva di illustrare come si sviluppò l’epopea delle scoperte e il ruolo del magistero di Quintiliano nello sviluppo dell’Umanesimo.</w:t>
      </w:r>
    </w:p>
    <w:p w14:paraId="3DBA0FE1" w14:textId="77777777" w:rsidR="00C20818" w:rsidRDefault="00C20818" w:rsidP="00C20818">
      <w:pPr>
        <w:tabs>
          <w:tab w:val="center" w:pos="3345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5FFF25F" w14:textId="77777777" w:rsidR="00494F28" w:rsidRPr="00283371" w:rsidRDefault="00494F28" w:rsidP="00494F28">
      <w:pPr>
        <w:pStyle w:val="Titolo2"/>
        <w:spacing w:before="120"/>
        <w:rPr>
          <w:rFonts w:ascii="Times New Roman" w:hAnsi="Times New Roman"/>
        </w:rPr>
      </w:pPr>
      <w:bookmarkStart w:id="6" w:name="_Toc53670060"/>
      <w:bookmarkStart w:id="7" w:name="_Toc53733253"/>
      <w:bookmarkStart w:id="8" w:name="_Toc53733576"/>
      <w:r w:rsidRPr="00283371">
        <w:rPr>
          <w:rFonts w:ascii="Times New Roman" w:hAnsi="Times New Roman"/>
        </w:rPr>
        <w:t>I Modulo</w:t>
      </w:r>
      <w:bookmarkEnd w:id="6"/>
      <w:bookmarkEnd w:id="7"/>
      <w:bookmarkEnd w:id="8"/>
    </w:p>
    <w:p w14:paraId="6701F2DD" w14:textId="77777777" w:rsidR="00DA6F07" w:rsidRPr="00DA6F07" w:rsidRDefault="00DA6F07" w:rsidP="00A23533">
      <w:pPr>
        <w:spacing w:line="240" w:lineRule="auto"/>
        <w:rPr>
          <w:rFonts w:cs="Times"/>
        </w:rPr>
      </w:pPr>
      <w:r>
        <w:rPr>
          <w:rFonts w:cs="Times"/>
        </w:rPr>
        <w:t>Dante e i classici. Il recupero</w:t>
      </w:r>
      <w:r w:rsidRPr="000139CC">
        <w:rPr>
          <w:rFonts w:cs="Times"/>
        </w:rPr>
        <w:t xml:space="preserve"> dei classici e la loro ripresa nella letteratura umanistica. La biblioteca del Petrarca e le biblioteche umanistiche. La nascita della </w:t>
      </w:r>
      <w:r w:rsidRPr="000139CC">
        <w:rPr>
          <w:rFonts w:cs="Times"/>
        </w:rPr>
        <w:lastRenderedPageBreak/>
        <w:t xml:space="preserve">coscienza e della terminologia filologica. Teoria e prassi dell’imitazione. Brevi cenni di ecdotica con applicazione ai testi medioevali e umanistici latini. In particolare verranno analizzati alcuni brani tratti da opere di Petrarca, Boccaccio, Bruni, Bracciolini e Valla </w:t>
      </w:r>
      <w:r>
        <w:rPr>
          <w:rFonts w:cs="Times"/>
        </w:rPr>
        <w:t>sul recupero di</w:t>
      </w:r>
      <w:r w:rsidRPr="000139CC">
        <w:rPr>
          <w:rFonts w:cs="Times"/>
        </w:rPr>
        <w:t xml:space="preserve"> classici</w:t>
      </w:r>
      <w:r>
        <w:rPr>
          <w:rFonts w:cs="Times"/>
        </w:rPr>
        <w:t xml:space="preserve"> e padri</w:t>
      </w:r>
      <w:r w:rsidRPr="000139CC">
        <w:rPr>
          <w:rFonts w:cs="Times"/>
        </w:rPr>
        <w:t>, sui danni dei copisti, sul rapporto coi libri e l’imitazione.</w:t>
      </w:r>
    </w:p>
    <w:p w14:paraId="50CEE5A5" w14:textId="77777777" w:rsidR="00494F28" w:rsidRPr="00283371" w:rsidRDefault="00494F28" w:rsidP="00494F28">
      <w:pPr>
        <w:pStyle w:val="Titolo2"/>
        <w:spacing w:before="120"/>
        <w:rPr>
          <w:rFonts w:ascii="Times New Roman" w:hAnsi="Times New Roman"/>
        </w:rPr>
      </w:pPr>
      <w:bookmarkStart w:id="9" w:name="_Toc53670061"/>
      <w:bookmarkStart w:id="10" w:name="_Toc53733254"/>
      <w:bookmarkStart w:id="11" w:name="_Toc53733577"/>
      <w:r w:rsidRPr="00283371">
        <w:rPr>
          <w:rFonts w:ascii="Times New Roman" w:hAnsi="Times New Roman"/>
        </w:rPr>
        <w:t>Modulo A</w:t>
      </w:r>
      <w:bookmarkEnd w:id="9"/>
      <w:bookmarkEnd w:id="10"/>
      <w:bookmarkEnd w:id="11"/>
    </w:p>
    <w:p w14:paraId="2C4CD138" w14:textId="77777777" w:rsidR="00494F28" w:rsidRPr="00283371" w:rsidRDefault="00494F28" w:rsidP="00494F28">
      <w:pPr>
        <w:spacing w:line="240" w:lineRule="exact"/>
        <w:rPr>
          <w:rFonts w:eastAsia="MS Mincho"/>
        </w:rPr>
      </w:pPr>
      <w:r>
        <w:rPr>
          <w:rFonts w:eastAsia="MS Mincho"/>
        </w:rPr>
        <w:t>L</w:t>
      </w:r>
      <w:r w:rsidR="00B8530A">
        <w:rPr>
          <w:rFonts w:eastAsia="MS Mincho"/>
        </w:rPr>
        <w:t>a ‘scoperta’ di Quintiliano: Francesco Petrarca, Poggio Bracciolini, Cencio Rustici</w:t>
      </w:r>
      <w:r w:rsidRPr="00283371">
        <w:rPr>
          <w:rFonts w:eastAsia="MS Mincho"/>
        </w:rPr>
        <w:t>.</w:t>
      </w:r>
    </w:p>
    <w:p w14:paraId="1A0328DD" w14:textId="5EC4027F" w:rsidR="00C20818" w:rsidRDefault="00C20818" w:rsidP="00C208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A70F8">
        <w:rPr>
          <w:rStyle w:val="Rimandonotaapidipagina"/>
          <w:b/>
          <w:i/>
          <w:sz w:val="18"/>
        </w:rPr>
        <w:footnoteReference w:id="1"/>
      </w:r>
    </w:p>
    <w:p w14:paraId="06435FC2" w14:textId="77777777" w:rsidR="00494F28" w:rsidRPr="00430491" w:rsidRDefault="00494F28" w:rsidP="00A23533">
      <w:pPr>
        <w:pStyle w:val="Testo1"/>
        <w:ind w:firstLine="0"/>
        <w:rPr>
          <w:rFonts w:ascii="Times New Roman" w:hAnsi="Times New Roman"/>
          <w:szCs w:val="18"/>
        </w:rPr>
      </w:pPr>
      <w:r w:rsidRPr="00430491">
        <w:rPr>
          <w:rFonts w:ascii="Times New Roman" w:hAnsi="Times New Roman"/>
          <w:szCs w:val="18"/>
        </w:rPr>
        <w:t>I Modulo</w:t>
      </w:r>
    </w:p>
    <w:p w14:paraId="61BD552A" w14:textId="5E8779CD" w:rsidR="00494F28" w:rsidRPr="00FA70F8" w:rsidRDefault="00494F28" w:rsidP="00FA70F8">
      <w:r w:rsidRPr="00FA70F8">
        <w:rPr>
          <w:smallCaps/>
          <w:spacing w:val="-5"/>
          <w:sz w:val="18"/>
          <w:szCs w:val="18"/>
        </w:rPr>
        <w:t>G. Billanovich,</w:t>
      </w:r>
      <w:r w:rsidRPr="00FA70F8">
        <w:rPr>
          <w:i/>
          <w:spacing w:val="-5"/>
          <w:sz w:val="18"/>
          <w:szCs w:val="18"/>
        </w:rPr>
        <w:t xml:space="preserve"> Petrarca e il Ventoso</w:t>
      </w:r>
      <w:r w:rsidRPr="00FA70F8">
        <w:rPr>
          <w:spacing w:val="-5"/>
          <w:sz w:val="18"/>
          <w:szCs w:val="18"/>
        </w:rPr>
        <w:t xml:space="preserve">, «Italia medioevale e umanistica», 9 (1966), pp. 389-401 (ristampato in </w:t>
      </w:r>
      <w:r w:rsidRPr="00FA70F8">
        <w:rPr>
          <w:smallCaps/>
          <w:spacing w:val="-5"/>
          <w:sz w:val="18"/>
          <w:szCs w:val="18"/>
        </w:rPr>
        <w:t>Id</w:t>
      </w:r>
      <w:r w:rsidRPr="00FA70F8">
        <w:rPr>
          <w:spacing w:val="-5"/>
          <w:sz w:val="18"/>
          <w:szCs w:val="18"/>
        </w:rPr>
        <w:t>.,</w:t>
      </w:r>
      <w:r w:rsidRPr="00FA70F8">
        <w:rPr>
          <w:i/>
          <w:spacing w:val="-5"/>
          <w:sz w:val="18"/>
          <w:szCs w:val="18"/>
        </w:rPr>
        <w:t xml:space="preserve"> Petrarca e il primo umanesimo</w:t>
      </w:r>
      <w:r w:rsidRPr="00FA70F8">
        <w:rPr>
          <w:spacing w:val="-5"/>
          <w:sz w:val="18"/>
          <w:szCs w:val="18"/>
        </w:rPr>
        <w:t>,</w:t>
      </w:r>
      <w:r w:rsidR="007E21B5" w:rsidRPr="00FA70F8">
        <w:rPr>
          <w:spacing w:val="-5"/>
          <w:sz w:val="18"/>
          <w:szCs w:val="18"/>
        </w:rPr>
        <w:t xml:space="preserve"> Antenore, Padova</w:t>
      </w:r>
      <w:r w:rsidRPr="00FA70F8">
        <w:rPr>
          <w:spacing w:val="-5"/>
          <w:sz w:val="18"/>
          <w:szCs w:val="18"/>
        </w:rPr>
        <w:t xml:space="preserve"> 1996, pp. 168-184).</w:t>
      </w:r>
      <w:r w:rsidR="00FA70F8" w:rsidRPr="00FA70F8">
        <w:rPr>
          <w:i/>
          <w:sz w:val="16"/>
          <w:szCs w:val="16"/>
        </w:rPr>
        <w:t xml:space="preserve"> </w:t>
      </w:r>
      <w:hyperlink r:id="rId8" w:history="1">
        <w:r w:rsidR="00FA70F8" w:rsidRPr="00FA70F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779153C" w14:textId="77777777" w:rsidR="00494F28" w:rsidRPr="00430491" w:rsidRDefault="00494F28" w:rsidP="00494F28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</w:rPr>
      </w:pPr>
      <w:r w:rsidRPr="00430491">
        <w:rPr>
          <w:rFonts w:ascii="Times New Roman" w:hAnsi="Times New Roman"/>
          <w:smallCaps/>
          <w:spacing w:val="-5"/>
          <w:szCs w:val="18"/>
        </w:rPr>
        <w:t>L. Battaglia Ricci,</w:t>
      </w:r>
      <w:r w:rsidRPr="00430491">
        <w:rPr>
          <w:rFonts w:ascii="Times New Roman" w:hAnsi="Times New Roman"/>
          <w:i/>
          <w:spacing w:val="-5"/>
          <w:szCs w:val="18"/>
        </w:rPr>
        <w:t xml:space="preserve"> Giovanni Boccaccio</w:t>
      </w:r>
      <w:r w:rsidRPr="00430491">
        <w:rPr>
          <w:rFonts w:ascii="Times New Roman" w:hAnsi="Times New Roman"/>
          <w:spacing w:val="-5"/>
          <w:szCs w:val="18"/>
        </w:rPr>
        <w:t xml:space="preserve">, in </w:t>
      </w:r>
      <w:r w:rsidRPr="00430491">
        <w:rPr>
          <w:rFonts w:ascii="Times New Roman" w:hAnsi="Times New Roman"/>
          <w:i/>
          <w:spacing w:val="-5"/>
          <w:szCs w:val="18"/>
        </w:rPr>
        <w:t>Storia della letteratura italiana</w:t>
      </w:r>
      <w:r w:rsidRPr="00430491">
        <w:rPr>
          <w:rFonts w:ascii="Times New Roman" w:hAnsi="Times New Roman"/>
          <w:spacing w:val="-5"/>
          <w:szCs w:val="18"/>
        </w:rPr>
        <w:t xml:space="preserve">, II. </w:t>
      </w:r>
      <w:r w:rsidRPr="00430491">
        <w:rPr>
          <w:rFonts w:ascii="Times New Roman" w:hAnsi="Times New Roman"/>
          <w:i/>
          <w:spacing w:val="-5"/>
          <w:szCs w:val="18"/>
        </w:rPr>
        <w:t>Il Trecento</w:t>
      </w:r>
      <w:r w:rsidRPr="00430491">
        <w:rPr>
          <w:rFonts w:ascii="Times New Roman" w:hAnsi="Times New Roman"/>
          <w:spacing w:val="-5"/>
          <w:szCs w:val="18"/>
        </w:rPr>
        <w:t>, Salerno Editrice, Roma 1995, pp. 727-877, le pp. 733-742 (biografia); 750-755 (prime opere); 830-844 (produzione latina); 844-857 (ultime opere e produzione dantesca); 857-868 (Boccaccio preumanista).</w:t>
      </w:r>
    </w:p>
    <w:p w14:paraId="3B3064A1" w14:textId="77777777" w:rsidR="00494F28" w:rsidRPr="00430491" w:rsidRDefault="00494F28" w:rsidP="00494F28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</w:rPr>
      </w:pPr>
      <w:r w:rsidRPr="00430491">
        <w:rPr>
          <w:rFonts w:ascii="Times New Roman" w:hAnsi="Times New Roman"/>
          <w:smallCaps/>
          <w:spacing w:val="-5"/>
          <w:szCs w:val="18"/>
        </w:rPr>
        <w:t>C.M. Monti,</w:t>
      </w:r>
      <w:r w:rsidRPr="00430491">
        <w:rPr>
          <w:rFonts w:ascii="Times New Roman" w:hAnsi="Times New Roman"/>
          <w:i/>
          <w:spacing w:val="-5"/>
          <w:szCs w:val="18"/>
        </w:rPr>
        <w:t xml:space="preserve"> Boccaccio e Petrarca,</w:t>
      </w:r>
      <w:r w:rsidRPr="00430491">
        <w:rPr>
          <w:rFonts w:ascii="Times New Roman" w:hAnsi="Times New Roman"/>
          <w:spacing w:val="-5"/>
          <w:szCs w:val="18"/>
        </w:rPr>
        <w:t xml:space="preserve"> in </w:t>
      </w:r>
      <w:r w:rsidRPr="00430491">
        <w:rPr>
          <w:rFonts w:ascii="Times New Roman" w:hAnsi="Times New Roman"/>
          <w:i/>
          <w:spacing w:val="-5"/>
          <w:szCs w:val="18"/>
        </w:rPr>
        <w:t>Boccaccio autore e copista</w:t>
      </w:r>
      <w:r w:rsidRPr="00430491">
        <w:rPr>
          <w:rFonts w:ascii="Times New Roman" w:hAnsi="Times New Roman"/>
          <w:spacing w:val="-5"/>
          <w:szCs w:val="18"/>
        </w:rPr>
        <w:t>, a cura di T. De Robertis-C.M. Monti-M. Petoletti-G. Tanturli-S. Zamponi, Mandragora, Firenz</w:t>
      </w:r>
      <w:r w:rsidR="007E21B5">
        <w:rPr>
          <w:rFonts w:ascii="Times New Roman" w:hAnsi="Times New Roman"/>
          <w:spacing w:val="-5"/>
          <w:szCs w:val="18"/>
        </w:rPr>
        <w:t>e</w:t>
      </w:r>
      <w:r w:rsidRPr="00430491">
        <w:rPr>
          <w:rFonts w:ascii="Times New Roman" w:hAnsi="Times New Roman"/>
          <w:spacing w:val="-5"/>
          <w:szCs w:val="18"/>
        </w:rPr>
        <w:t xml:space="preserve"> 2013, pp. 33-40.</w:t>
      </w:r>
    </w:p>
    <w:p w14:paraId="4A91596B" w14:textId="1D20B2CE" w:rsidR="00494F28" w:rsidRPr="00FA70F8" w:rsidRDefault="00494F28" w:rsidP="00FA70F8">
      <w:r w:rsidRPr="00FA70F8">
        <w:rPr>
          <w:smallCaps/>
          <w:spacing w:val="-5"/>
          <w:sz w:val="18"/>
          <w:szCs w:val="18"/>
        </w:rPr>
        <w:t>G. Cappelli,</w:t>
      </w:r>
      <w:r w:rsidRPr="00FA70F8">
        <w:rPr>
          <w:i/>
          <w:spacing w:val="-5"/>
          <w:sz w:val="18"/>
          <w:szCs w:val="18"/>
        </w:rPr>
        <w:t xml:space="preserve"> L’Umanesimo italiano da Petrarca a Valla</w:t>
      </w:r>
      <w:r w:rsidR="007E21B5" w:rsidRPr="00FA70F8">
        <w:rPr>
          <w:spacing w:val="-5"/>
          <w:sz w:val="18"/>
          <w:szCs w:val="18"/>
        </w:rPr>
        <w:t>, Carocci, Roma</w:t>
      </w:r>
      <w:r w:rsidRPr="00FA70F8">
        <w:rPr>
          <w:spacing w:val="-5"/>
          <w:sz w:val="18"/>
          <w:szCs w:val="18"/>
        </w:rPr>
        <w:t xml:space="preserve"> 2018 (collana «Aulamagna»). L’interrogazione verterà in particolare sulle figure di F. Petrarca, C. Salutati, L. Bruni, P. Bracciolini, Biondo Flavio, L.B. Alberti, L. Valla e sui capitoli: III </w:t>
      </w:r>
      <w:r w:rsidRPr="00FA70F8">
        <w:rPr>
          <w:i/>
          <w:spacing w:val="-5"/>
          <w:sz w:val="18"/>
          <w:szCs w:val="18"/>
        </w:rPr>
        <w:t>L’introduzione dello studio del greco</w:t>
      </w:r>
      <w:r w:rsidRPr="00FA70F8">
        <w:rPr>
          <w:spacing w:val="-5"/>
          <w:sz w:val="18"/>
          <w:szCs w:val="18"/>
        </w:rPr>
        <w:t xml:space="preserve"> e IV </w:t>
      </w:r>
      <w:r w:rsidRPr="00FA70F8">
        <w:rPr>
          <w:i/>
          <w:spacing w:val="-5"/>
          <w:sz w:val="18"/>
          <w:szCs w:val="18"/>
        </w:rPr>
        <w:t>La nuova educazione</w:t>
      </w:r>
      <w:r w:rsidRPr="00FA70F8">
        <w:rPr>
          <w:spacing w:val="-5"/>
          <w:sz w:val="18"/>
          <w:szCs w:val="18"/>
        </w:rPr>
        <w:t>.</w:t>
      </w:r>
      <w:r w:rsidR="00FA70F8" w:rsidRPr="00FA70F8">
        <w:rPr>
          <w:i/>
          <w:sz w:val="16"/>
          <w:szCs w:val="16"/>
        </w:rPr>
        <w:t xml:space="preserve"> </w:t>
      </w:r>
      <w:hyperlink r:id="rId9" w:history="1">
        <w:r w:rsidR="00FA70F8" w:rsidRPr="00FA70F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5202B0C" w14:textId="7858F416" w:rsidR="00494F28" w:rsidRPr="00FA70F8" w:rsidRDefault="00494F28" w:rsidP="00FA70F8">
      <w:r w:rsidRPr="00FA70F8">
        <w:rPr>
          <w:smallCaps/>
          <w:spacing w:val="-5"/>
          <w:sz w:val="18"/>
          <w:szCs w:val="18"/>
        </w:rPr>
        <w:t>L.D. Reynolds-N.G. Wilson,</w:t>
      </w:r>
      <w:r w:rsidRPr="00FA70F8">
        <w:rPr>
          <w:i/>
          <w:spacing w:val="-5"/>
          <w:sz w:val="18"/>
          <w:szCs w:val="18"/>
        </w:rPr>
        <w:t xml:space="preserve"> Copisti e filologi,</w:t>
      </w:r>
      <w:r w:rsidRPr="00FA70F8">
        <w:rPr>
          <w:spacing w:val="-5"/>
          <w:sz w:val="18"/>
          <w:szCs w:val="18"/>
        </w:rPr>
        <w:t xml:space="preserve"> Antenore, Roma-Padova, 2016 (4</w:t>
      </w:r>
      <w:r w:rsidRPr="00FA70F8">
        <w:rPr>
          <w:spacing w:val="-5"/>
          <w:sz w:val="18"/>
          <w:szCs w:val="18"/>
          <w:vertAlign w:val="superscript"/>
        </w:rPr>
        <w:t>a</w:t>
      </w:r>
      <w:r w:rsidRPr="00FA70F8">
        <w:rPr>
          <w:spacing w:val="-5"/>
          <w:sz w:val="18"/>
          <w:szCs w:val="18"/>
        </w:rPr>
        <w:t xml:space="preserve"> edizione riveduta e ampliata): cap. IV, Il Rinascimento, pp. 115-136.</w:t>
      </w:r>
      <w:r w:rsidR="00FA70F8" w:rsidRPr="00FA70F8">
        <w:rPr>
          <w:i/>
          <w:sz w:val="16"/>
          <w:szCs w:val="16"/>
        </w:rPr>
        <w:t xml:space="preserve"> </w:t>
      </w:r>
      <w:hyperlink r:id="rId10" w:history="1">
        <w:r w:rsidR="00FA70F8" w:rsidRPr="00FA70F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E2048A4" w14:textId="5DA6DCAA" w:rsidR="00494F28" w:rsidRPr="00FA70F8" w:rsidRDefault="00494F28" w:rsidP="00FA70F8">
      <w:r w:rsidRPr="00FA70F8">
        <w:rPr>
          <w:smallCaps/>
          <w:spacing w:val="-5"/>
          <w:sz w:val="18"/>
          <w:szCs w:val="18"/>
        </w:rPr>
        <w:t>M. Berté-M. Petoletti,</w:t>
      </w:r>
      <w:r w:rsidRPr="00FA70F8">
        <w:rPr>
          <w:i/>
          <w:spacing w:val="-5"/>
          <w:sz w:val="18"/>
          <w:szCs w:val="18"/>
        </w:rPr>
        <w:t xml:space="preserve"> La filologia medievale e umanistica</w:t>
      </w:r>
      <w:r w:rsidRPr="00FA70F8">
        <w:rPr>
          <w:spacing w:val="-5"/>
          <w:sz w:val="18"/>
          <w:szCs w:val="18"/>
        </w:rPr>
        <w:t>, il Mulino, Bologna, 2017 (le parti specificamente dedicate alla Filologia umanistica e i Testi: 7-10 e 12).</w:t>
      </w:r>
      <w:r w:rsidR="00FA70F8" w:rsidRPr="00FA70F8">
        <w:rPr>
          <w:i/>
          <w:sz w:val="16"/>
          <w:szCs w:val="16"/>
        </w:rPr>
        <w:t xml:space="preserve"> </w:t>
      </w:r>
      <w:hyperlink r:id="rId11" w:history="1">
        <w:r w:rsidR="00FA70F8" w:rsidRPr="00FA70F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78FC140" w14:textId="77777777" w:rsidR="00DA6F07" w:rsidRPr="002F7819" w:rsidRDefault="00DA6F07" w:rsidP="00DA6F07">
      <w:pPr>
        <w:pStyle w:val="Testo1"/>
        <w:spacing w:line="240" w:lineRule="auto"/>
        <w:rPr>
          <w:spacing w:val="-5"/>
          <w:szCs w:val="18"/>
        </w:rPr>
      </w:pPr>
      <w:r>
        <w:rPr>
          <w:spacing w:val="-5"/>
          <w:szCs w:val="18"/>
        </w:rPr>
        <w:t>*</w:t>
      </w:r>
      <w:r w:rsidRPr="002F7819">
        <w:rPr>
          <w:spacing w:val="-5"/>
          <w:szCs w:val="18"/>
        </w:rPr>
        <w:t xml:space="preserve">I contributi di </w:t>
      </w:r>
      <w:r w:rsidRPr="002F7819">
        <w:rPr>
          <w:smallCaps/>
          <w:spacing w:val="-5"/>
          <w:szCs w:val="18"/>
        </w:rPr>
        <w:t>Billanovich</w:t>
      </w:r>
      <w:r w:rsidRPr="002F7819">
        <w:rPr>
          <w:spacing w:val="-5"/>
          <w:szCs w:val="18"/>
        </w:rPr>
        <w:t xml:space="preserve">, </w:t>
      </w:r>
      <w:r w:rsidRPr="002F7819">
        <w:rPr>
          <w:smallCaps/>
          <w:spacing w:val="-5"/>
          <w:szCs w:val="18"/>
        </w:rPr>
        <w:t>Battaglia Ricci</w:t>
      </w:r>
      <w:r w:rsidRPr="002F7819">
        <w:rPr>
          <w:spacing w:val="-5"/>
          <w:szCs w:val="18"/>
        </w:rPr>
        <w:t xml:space="preserve">, </w:t>
      </w:r>
      <w:r w:rsidRPr="002F7819">
        <w:rPr>
          <w:smallCaps/>
          <w:spacing w:val="-5"/>
          <w:szCs w:val="18"/>
        </w:rPr>
        <w:t>Monti</w:t>
      </w:r>
      <w:r w:rsidRPr="002F7819">
        <w:rPr>
          <w:spacing w:val="-5"/>
          <w:szCs w:val="18"/>
        </w:rPr>
        <w:t xml:space="preserve"> e </w:t>
      </w:r>
      <w:r w:rsidRPr="002F7819">
        <w:rPr>
          <w:smallCaps/>
          <w:spacing w:val="-5"/>
          <w:szCs w:val="18"/>
        </w:rPr>
        <w:t>Reynolds</w:t>
      </w:r>
      <w:r w:rsidRPr="002F7819">
        <w:rPr>
          <w:spacing w:val="-5"/>
          <w:szCs w:val="18"/>
        </w:rPr>
        <w:t xml:space="preserve"> saranno disponibili anche in una Dispensa.</w:t>
      </w:r>
    </w:p>
    <w:p w14:paraId="079DD6ED" w14:textId="77777777" w:rsidR="00494F28" w:rsidRPr="00FA70F8" w:rsidRDefault="00494F28" w:rsidP="00A23533">
      <w:pPr>
        <w:pStyle w:val="Testo1"/>
        <w:ind w:firstLine="0"/>
        <w:rPr>
          <w:rFonts w:ascii="Times New Roman" w:hAnsi="Times New Roman"/>
          <w:szCs w:val="18"/>
          <w:lang w:val="en-US"/>
        </w:rPr>
      </w:pPr>
      <w:r w:rsidRPr="00FA70F8">
        <w:rPr>
          <w:rFonts w:ascii="Times New Roman" w:hAnsi="Times New Roman"/>
          <w:szCs w:val="18"/>
          <w:lang w:val="en-US"/>
        </w:rPr>
        <w:t>Modulo A</w:t>
      </w:r>
    </w:p>
    <w:p w14:paraId="4D4B054F" w14:textId="77777777" w:rsidR="003F02E2" w:rsidRPr="00FA70F8" w:rsidRDefault="003F02E2" w:rsidP="003F02E2">
      <w:pPr>
        <w:pStyle w:val="Testo1"/>
        <w:spacing w:before="0"/>
        <w:rPr>
          <w:rFonts w:ascii="Times New Roman" w:hAnsi="Times New Roman"/>
          <w:szCs w:val="18"/>
          <w:lang w:val="en-US"/>
        </w:rPr>
      </w:pPr>
      <w:r w:rsidRPr="00FA70F8">
        <w:rPr>
          <w:rFonts w:ascii="Times New Roman" w:hAnsi="Times New Roman"/>
          <w:i/>
          <w:szCs w:val="18"/>
          <w:lang w:val="en-US"/>
        </w:rPr>
        <w:t>Texts and transmission. A survey of the latin Classics</w:t>
      </w:r>
      <w:r w:rsidRPr="00FA70F8">
        <w:rPr>
          <w:rFonts w:ascii="Times New Roman" w:hAnsi="Times New Roman"/>
          <w:szCs w:val="18"/>
          <w:lang w:val="en-US"/>
        </w:rPr>
        <w:t xml:space="preserve">, edited by L.D. Reynolds, s.v. </w:t>
      </w:r>
      <w:r w:rsidRPr="00FA70F8">
        <w:rPr>
          <w:rFonts w:ascii="Times New Roman" w:hAnsi="Times New Roman"/>
          <w:i/>
          <w:szCs w:val="18"/>
          <w:lang w:val="en-US"/>
        </w:rPr>
        <w:t>Quintilian</w:t>
      </w:r>
      <w:r w:rsidRPr="00FA70F8">
        <w:rPr>
          <w:rFonts w:ascii="Times New Roman" w:hAnsi="Times New Roman"/>
          <w:szCs w:val="18"/>
          <w:lang w:val="en-US"/>
        </w:rPr>
        <w:t>, by M. Winterbottom, Clarendon Press, Oxford 1983, pp. 332-334.</w:t>
      </w:r>
    </w:p>
    <w:p w14:paraId="52177EEA" w14:textId="77777777" w:rsidR="003F02E2" w:rsidRDefault="003F02E2" w:rsidP="003F02E2">
      <w:pPr>
        <w:pStyle w:val="Testo1"/>
        <w:spacing w:before="0"/>
        <w:rPr>
          <w:rFonts w:ascii="Times New Roman" w:hAnsi="Times New Roman"/>
          <w:szCs w:val="18"/>
        </w:rPr>
      </w:pPr>
      <w:r w:rsidRPr="003F02E2">
        <w:rPr>
          <w:rFonts w:ascii="Times New Roman" w:hAnsi="Times New Roman"/>
          <w:smallCaps/>
          <w:szCs w:val="18"/>
        </w:rPr>
        <w:t>R. Sabbadini</w:t>
      </w:r>
      <w:r w:rsidRPr="003F02E2">
        <w:rPr>
          <w:rFonts w:ascii="Times New Roman" w:hAnsi="Times New Roman"/>
          <w:szCs w:val="18"/>
        </w:rPr>
        <w:t>,</w:t>
      </w:r>
      <w:r>
        <w:rPr>
          <w:rFonts w:ascii="Times New Roman" w:hAnsi="Times New Roman"/>
          <w:i/>
          <w:szCs w:val="18"/>
        </w:rPr>
        <w:t xml:space="preserve"> Storia e critica dei testi latini</w:t>
      </w:r>
      <w:r>
        <w:rPr>
          <w:rFonts w:ascii="Times New Roman" w:hAnsi="Times New Roman"/>
          <w:szCs w:val="18"/>
        </w:rPr>
        <w:t>, seconda edizione, Antenore, Padova 1971, pp. 284-294.</w:t>
      </w:r>
    </w:p>
    <w:p w14:paraId="6A6CC154" w14:textId="77777777" w:rsidR="003F02E2" w:rsidRDefault="003F02E2" w:rsidP="003F02E2">
      <w:pPr>
        <w:pStyle w:val="Testo1"/>
        <w:spacing w:befor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A. </w:t>
      </w:r>
      <w:r w:rsidRPr="000930AE">
        <w:rPr>
          <w:rFonts w:ascii="Times New Roman" w:hAnsi="Times New Roman"/>
          <w:smallCaps/>
          <w:szCs w:val="18"/>
        </w:rPr>
        <w:t>Daneloni</w:t>
      </w:r>
      <w:r>
        <w:rPr>
          <w:rFonts w:ascii="Times New Roman" w:hAnsi="Times New Roman"/>
          <w:szCs w:val="18"/>
        </w:rPr>
        <w:t xml:space="preserve">, </w:t>
      </w:r>
      <w:r w:rsidR="000930AE" w:rsidRPr="000930AE">
        <w:rPr>
          <w:rFonts w:ascii="Times New Roman" w:hAnsi="Times New Roman"/>
          <w:i/>
          <w:szCs w:val="18"/>
        </w:rPr>
        <w:t>Poliziano e il testo dell’‘Institutio oratoria’</w:t>
      </w:r>
      <w:r w:rsidR="000930AE">
        <w:rPr>
          <w:rFonts w:ascii="Times New Roman" w:hAnsi="Times New Roman"/>
          <w:szCs w:val="18"/>
        </w:rPr>
        <w:t xml:space="preserve">, </w:t>
      </w:r>
      <w:r w:rsidR="000930AE" w:rsidRPr="000930AE">
        <w:rPr>
          <w:rFonts w:ascii="Times New Roman" w:hAnsi="Times New Roman"/>
          <w:smallCaps/>
          <w:szCs w:val="18"/>
        </w:rPr>
        <w:t>Cisu</w:t>
      </w:r>
      <w:r w:rsidR="000930AE">
        <w:rPr>
          <w:rFonts w:ascii="Times New Roman" w:hAnsi="Times New Roman"/>
          <w:szCs w:val="18"/>
        </w:rPr>
        <w:t>, Messina 2001, pp. 21-23, 39-42,67-68.</w:t>
      </w:r>
    </w:p>
    <w:p w14:paraId="6941AA0D" w14:textId="77777777" w:rsidR="00B01194" w:rsidRDefault="00B01194" w:rsidP="00494F28">
      <w:pPr>
        <w:pStyle w:val="Testo1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F. </w:t>
      </w:r>
      <w:r w:rsidRPr="001C4C49">
        <w:rPr>
          <w:rFonts w:ascii="Times New Roman" w:hAnsi="Times New Roman"/>
          <w:smallCaps/>
        </w:rPr>
        <w:t>Petrarca</w:t>
      </w:r>
      <w:r>
        <w:rPr>
          <w:rFonts w:ascii="Times New Roman" w:hAnsi="Times New Roman"/>
        </w:rPr>
        <w:t xml:space="preserve">, </w:t>
      </w:r>
      <w:r w:rsidRPr="001C4C49">
        <w:rPr>
          <w:rFonts w:ascii="Times New Roman" w:hAnsi="Times New Roman"/>
          <w:i/>
        </w:rPr>
        <w:t>Le familiari</w:t>
      </w:r>
      <w:r>
        <w:rPr>
          <w:rFonts w:ascii="Times New Roman" w:hAnsi="Times New Roman"/>
        </w:rPr>
        <w:t xml:space="preserve">, a cura di V. </w:t>
      </w:r>
      <w:r w:rsidRPr="007E21B5">
        <w:rPr>
          <w:rFonts w:ascii="Times New Roman" w:hAnsi="Times New Roman"/>
        </w:rPr>
        <w:t>Rossi</w:t>
      </w:r>
      <w:r>
        <w:rPr>
          <w:rFonts w:ascii="Times New Roman" w:hAnsi="Times New Roman"/>
        </w:rPr>
        <w:t xml:space="preserve">, IV, </w:t>
      </w:r>
      <w:r w:rsidRPr="00D5712A">
        <w:rPr>
          <w:rFonts w:ascii="Times New Roman" w:hAnsi="Times New Roman"/>
        </w:rPr>
        <w:t>Sansoni</w:t>
      </w:r>
      <w:r>
        <w:rPr>
          <w:rFonts w:ascii="Times New Roman" w:hAnsi="Times New Roman"/>
        </w:rPr>
        <w:t>,</w:t>
      </w:r>
      <w:r w:rsidRPr="00D571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Firenze </w:t>
      </w:r>
      <w:r w:rsidR="0008259C">
        <w:rPr>
          <w:rFonts w:ascii="Times New Roman" w:hAnsi="Times New Roman"/>
        </w:rPr>
        <w:t>1942</w:t>
      </w:r>
      <w:r>
        <w:rPr>
          <w:rFonts w:ascii="Times New Roman" w:hAnsi="Times New Roman"/>
        </w:rPr>
        <w:t>, pp.</w:t>
      </w:r>
      <w:r w:rsidR="007E21B5">
        <w:rPr>
          <w:rFonts w:ascii="Times New Roman" w:hAnsi="Times New Roman"/>
        </w:rPr>
        <w:t xml:space="preserve"> 240-243.</w:t>
      </w:r>
    </w:p>
    <w:p w14:paraId="17259C34" w14:textId="77777777" w:rsidR="00AE6071" w:rsidRDefault="00AE6071" w:rsidP="00494F28">
      <w:pPr>
        <w:pStyle w:val="Testo1"/>
        <w:spacing w:before="0" w:line="240" w:lineRule="auto"/>
        <w:rPr>
          <w:rFonts w:ascii="Times New Roman" w:hAnsi="Times New Roman"/>
        </w:rPr>
      </w:pPr>
      <w:r w:rsidRPr="00AE6071">
        <w:rPr>
          <w:rFonts w:ascii="Times New Roman" w:hAnsi="Times New Roman"/>
          <w:smallCaps/>
        </w:rPr>
        <w:lastRenderedPageBreak/>
        <w:t>Poggio Bracciolini</w:t>
      </w:r>
      <w:r>
        <w:rPr>
          <w:rFonts w:ascii="Times New Roman" w:hAnsi="Times New Roman"/>
        </w:rPr>
        <w:t xml:space="preserve">, </w:t>
      </w:r>
      <w:r w:rsidRPr="00AE6071">
        <w:rPr>
          <w:rFonts w:ascii="Times New Roman" w:hAnsi="Times New Roman"/>
          <w:i/>
        </w:rPr>
        <w:t xml:space="preserve">Lettere, </w:t>
      </w:r>
      <w:r w:rsidRPr="00AE6071">
        <w:rPr>
          <w:rFonts w:ascii="Times New Roman" w:hAnsi="Times New Roman"/>
          <w:i/>
          <w:smallCaps/>
        </w:rPr>
        <w:t>ii</w:t>
      </w:r>
      <w:r w:rsidRPr="00AE6071">
        <w:rPr>
          <w:rFonts w:ascii="Times New Roman" w:hAnsi="Times New Roman"/>
          <w:i/>
        </w:rPr>
        <w:t>. Epistolarum familiarium libri</w:t>
      </w:r>
      <w:r>
        <w:rPr>
          <w:rFonts w:ascii="Times New Roman" w:hAnsi="Times New Roman"/>
        </w:rPr>
        <w:t xml:space="preserve">, a cura di H. </w:t>
      </w:r>
      <w:r w:rsidRPr="007E21B5">
        <w:rPr>
          <w:rFonts w:ascii="Times New Roman" w:hAnsi="Times New Roman"/>
        </w:rPr>
        <w:t>Harth</w:t>
      </w:r>
      <w:r>
        <w:rPr>
          <w:rFonts w:ascii="Times New Roman" w:hAnsi="Times New Roman"/>
        </w:rPr>
        <w:t>,</w:t>
      </w:r>
      <w:r w:rsidR="007E21B5">
        <w:rPr>
          <w:rFonts w:ascii="Times New Roman" w:hAnsi="Times New Roman"/>
        </w:rPr>
        <w:t xml:space="preserve"> II,</w:t>
      </w:r>
      <w:r>
        <w:rPr>
          <w:rFonts w:ascii="Times New Roman" w:hAnsi="Times New Roman"/>
        </w:rPr>
        <w:t xml:space="preserve"> L.S. Olschki, Firenze 1984, pp. 153-</w:t>
      </w:r>
      <w:r w:rsidR="007E21B5">
        <w:rPr>
          <w:rFonts w:ascii="Times New Roman" w:hAnsi="Times New Roman"/>
        </w:rPr>
        <w:t>1</w:t>
      </w:r>
      <w:r>
        <w:rPr>
          <w:rFonts w:ascii="Times New Roman" w:hAnsi="Times New Roman"/>
        </w:rPr>
        <w:t>56</w:t>
      </w:r>
      <w:r w:rsidR="007E21B5">
        <w:rPr>
          <w:rFonts w:ascii="Times New Roman" w:hAnsi="Times New Roman"/>
        </w:rPr>
        <w:t xml:space="preserve"> e 444-447.</w:t>
      </w:r>
    </w:p>
    <w:p w14:paraId="18E62473" w14:textId="25722108" w:rsidR="007E21B5" w:rsidRDefault="007E21B5" w:rsidP="00FA70F8">
      <w:r w:rsidRPr="00FA70F8">
        <w:rPr>
          <w:smallCaps/>
          <w:spacing w:val="-5"/>
          <w:sz w:val="18"/>
          <w:szCs w:val="18"/>
        </w:rPr>
        <w:t>M. Berté-M. Petoletti,</w:t>
      </w:r>
      <w:r w:rsidRPr="00FA70F8">
        <w:rPr>
          <w:i/>
          <w:spacing w:val="-5"/>
          <w:sz w:val="18"/>
          <w:szCs w:val="18"/>
        </w:rPr>
        <w:t xml:space="preserve"> La filologia medievale e umanistica,</w:t>
      </w:r>
      <w:r w:rsidRPr="00FA70F8">
        <w:rPr>
          <w:spacing w:val="-5"/>
          <w:sz w:val="18"/>
          <w:szCs w:val="18"/>
        </w:rPr>
        <w:t xml:space="preserve"> il Mulino, Bologna 2017, pp. </w:t>
      </w:r>
      <w:r w:rsidR="003F02E2" w:rsidRPr="00FA70F8">
        <w:rPr>
          <w:spacing w:val="-5"/>
          <w:sz w:val="18"/>
          <w:szCs w:val="18"/>
        </w:rPr>
        <w:t>226-232.</w:t>
      </w:r>
      <w:r w:rsidR="00FA70F8" w:rsidRPr="00FA70F8">
        <w:rPr>
          <w:i/>
          <w:sz w:val="16"/>
          <w:szCs w:val="16"/>
        </w:rPr>
        <w:t xml:space="preserve"> </w:t>
      </w:r>
      <w:hyperlink r:id="rId12" w:history="1">
        <w:r w:rsidR="00FA70F8" w:rsidRPr="00FA70F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2" w:name="_GoBack"/>
      <w:bookmarkEnd w:id="12"/>
    </w:p>
    <w:p w14:paraId="50111409" w14:textId="77777777" w:rsidR="00B01194" w:rsidRDefault="00B01194" w:rsidP="00494F28">
      <w:pPr>
        <w:pStyle w:val="Testo1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C.M. </w:t>
      </w:r>
      <w:r w:rsidRPr="00AE6071">
        <w:rPr>
          <w:rFonts w:ascii="Times New Roman" w:hAnsi="Times New Roman"/>
          <w:smallCaps/>
        </w:rPr>
        <w:t>Monti</w:t>
      </w:r>
      <w:r>
        <w:rPr>
          <w:rFonts w:ascii="Times New Roman" w:hAnsi="Times New Roman"/>
        </w:rPr>
        <w:t xml:space="preserve">, </w:t>
      </w:r>
      <w:r w:rsidRPr="00AE6071">
        <w:rPr>
          <w:rFonts w:ascii="Times New Roman" w:hAnsi="Times New Roman"/>
          <w:i/>
        </w:rPr>
        <w:t>«Opto te incolumem videre». Petrarca e la scoperta del Quintiliano integro</w:t>
      </w:r>
      <w:r w:rsidR="00AE6071">
        <w:rPr>
          <w:rFonts w:ascii="Times New Roman" w:hAnsi="Times New Roman"/>
        </w:rPr>
        <w:t>, «Studi petrarcheschi», n.s., 20 (2007), pp. 105-123.</w:t>
      </w:r>
    </w:p>
    <w:p w14:paraId="3A3A8951" w14:textId="77777777" w:rsidR="000930AE" w:rsidRDefault="000930AE" w:rsidP="00494F28">
      <w:pPr>
        <w:pStyle w:val="Testo1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C.M. </w:t>
      </w:r>
      <w:r w:rsidRPr="000930AE">
        <w:rPr>
          <w:rFonts w:ascii="Times New Roman" w:hAnsi="Times New Roman"/>
          <w:smallCaps/>
        </w:rPr>
        <w:t>Monti</w:t>
      </w:r>
      <w:r>
        <w:rPr>
          <w:rFonts w:ascii="Times New Roman" w:hAnsi="Times New Roman"/>
        </w:rPr>
        <w:t xml:space="preserve">, </w:t>
      </w:r>
      <w:r w:rsidRPr="000930AE">
        <w:rPr>
          <w:rFonts w:ascii="Times New Roman" w:hAnsi="Times New Roman"/>
          <w:i/>
        </w:rPr>
        <w:t>La lettera di Cencio Rustici a France</w:t>
      </w:r>
      <w:r>
        <w:rPr>
          <w:rFonts w:ascii="Times New Roman" w:hAnsi="Times New Roman"/>
          <w:i/>
        </w:rPr>
        <w:t>sco da Fiano sulle scoperte di S</w:t>
      </w:r>
      <w:r w:rsidRPr="000930AE">
        <w:rPr>
          <w:rFonts w:ascii="Times New Roman" w:hAnsi="Times New Roman"/>
          <w:i/>
        </w:rPr>
        <w:t>an Gallo</w:t>
      </w:r>
      <w:r>
        <w:rPr>
          <w:rFonts w:ascii="Times New Roman" w:hAnsi="Times New Roman"/>
        </w:rPr>
        <w:t xml:space="preserve">, in </w:t>
      </w:r>
      <w:r w:rsidRPr="000930AE">
        <w:rPr>
          <w:rFonts w:ascii="Times New Roman" w:hAnsi="Times New Roman"/>
          <w:i/>
        </w:rPr>
        <w:t>Ludus litterarum. Studi umanistici in onore di Angelo Brumana</w:t>
      </w:r>
      <w:r>
        <w:rPr>
          <w:rFonts w:ascii="Times New Roman" w:hAnsi="Times New Roman"/>
        </w:rPr>
        <w:t>, a cura di C. Bazzani-F. Pagnoni-S. Parola-E. Valseriati, B. Mondadori-Pearson, Milano-Torino 2020, pp. 50-65.</w:t>
      </w:r>
    </w:p>
    <w:p w14:paraId="72B2BF6A" w14:textId="77777777" w:rsidR="00271310" w:rsidRDefault="00271310" w:rsidP="00494F28">
      <w:pPr>
        <w:pStyle w:val="Testo1"/>
        <w:spacing w:before="0" w:line="240" w:lineRule="auto"/>
        <w:rPr>
          <w:rFonts w:ascii="Times New Roman" w:hAnsi="Times New Roman"/>
          <w:smallCaps/>
          <w:spacing w:val="-5"/>
          <w:szCs w:val="18"/>
        </w:rPr>
      </w:pPr>
      <w:r>
        <w:rPr>
          <w:spacing w:val="-5"/>
          <w:szCs w:val="18"/>
        </w:rPr>
        <w:t>*La bibliografia</w:t>
      </w:r>
      <w:r w:rsidRPr="002F7819">
        <w:rPr>
          <w:spacing w:val="-5"/>
          <w:szCs w:val="18"/>
        </w:rPr>
        <w:t xml:space="preserve"> sar</w:t>
      </w:r>
      <w:r>
        <w:rPr>
          <w:spacing w:val="-5"/>
          <w:szCs w:val="18"/>
        </w:rPr>
        <w:t>à</w:t>
      </w:r>
      <w:r w:rsidRPr="002F7819">
        <w:rPr>
          <w:spacing w:val="-5"/>
          <w:szCs w:val="18"/>
        </w:rPr>
        <w:t xml:space="preserve"> </w:t>
      </w:r>
      <w:r>
        <w:rPr>
          <w:spacing w:val="-5"/>
          <w:szCs w:val="18"/>
        </w:rPr>
        <w:t>in gran parte disponibile</w:t>
      </w:r>
      <w:r w:rsidRPr="002F7819">
        <w:rPr>
          <w:spacing w:val="-5"/>
          <w:szCs w:val="18"/>
        </w:rPr>
        <w:t xml:space="preserve"> anche in una Dispensa.</w:t>
      </w:r>
    </w:p>
    <w:p w14:paraId="43E3906B" w14:textId="77777777" w:rsidR="00C20818" w:rsidRDefault="00C20818" w:rsidP="00C208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C283F3A" w14:textId="77777777"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I Modulo</w:t>
      </w:r>
    </w:p>
    <w:p w14:paraId="7F0E4C30" w14:textId="77777777"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Lezioni in aula e seminari di approfondimento.</w:t>
      </w:r>
    </w:p>
    <w:p w14:paraId="628DCF83" w14:textId="77777777" w:rsidR="00494F28" w:rsidRPr="00283371" w:rsidRDefault="00494F28" w:rsidP="00494F28">
      <w:pPr>
        <w:pStyle w:val="Testo2"/>
        <w:spacing w:before="120"/>
        <w:rPr>
          <w:rFonts w:ascii="Times New Roman" w:hAnsi="Times New Roman"/>
        </w:rPr>
      </w:pPr>
      <w:r w:rsidRPr="00283371">
        <w:rPr>
          <w:rFonts w:ascii="Times New Roman" w:hAnsi="Times New Roman"/>
        </w:rPr>
        <w:t>Modulo A</w:t>
      </w:r>
    </w:p>
    <w:p w14:paraId="755EBB04" w14:textId="77777777" w:rsidR="00494F28" w:rsidRPr="00283371" w:rsidRDefault="00494F28" w:rsidP="00494F28">
      <w:pPr>
        <w:pStyle w:val="Testo2"/>
        <w:rPr>
          <w:rFonts w:ascii="Times New Roman" w:hAnsi="Times New Roman"/>
          <w:b/>
          <w:i/>
        </w:rPr>
      </w:pPr>
      <w:r w:rsidRPr="00283371">
        <w:rPr>
          <w:rFonts w:ascii="Times New Roman" w:hAnsi="Times New Roman"/>
        </w:rPr>
        <w:t>Lezioni in aula, seminari di approfondimento, esercitazione individuale.</w:t>
      </w:r>
    </w:p>
    <w:p w14:paraId="4E396DE8" w14:textId="77777777" w:rsidR="00C20818" w:rsidRDefault="00C20818" w:rsidP="00C208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C3A3507" w14:textId="77777777"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 xml:space="preserve">I Modulo </w:t>
      </w:r>
    </w:p>
    <w:p w14:paraId="3010F58E" w14:textId="77777777"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L’esame è esclusivamente orale e mira a sondare la conoscenza dell’Umanesimo italiano sulla base della bibliografia indicata, delle lezioni del docente e dei brani letti in classe.</w:t>
      </w:r>
    </w:p>
    <w:p w14:paraId="15A92247" w14:textId="77777777" w:rsidR="00494F28" w:rsidRPr="00283371" w:rsidRDefault="00494F28" w:rsidP="00494F28">
      <w:pPr>
        <w:pStyle w:val="Testo2"/>
        <w:spacing w:before="120"/>
        <w:rPr>
          <w:rFonts w:ascii="Times New Roman" w:hAnsi="Times New Roman"/>
        </w:rPr>
      </w:pPr>
      <w:r w:rsidRPr="00283371">
        <w:rPr>
          <w:rFonts w:ascii="Times New Roman" w:hAnsi="Times New Roman"/>
        </w:rPr>
        <w:t>Modulo A</w:t>
      </w:r>
    </w:p>
    <w:p w14:paraId="1494C188" w14:textId="77777777"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L’esame è costituito da due parti: 1. Una esercitazione scritta su argomento relativo alle tematiche del corso, da concordare con il docente e da completare prima della prova orale. 2. Un colloquio orale, che mira a verificare la conoscenza dell’argomento e l’acquisizione del metodo filologico, anche attraverso una prova di traduzione e commento di un brano esaminato durante il corso.</w:t>
      </w:r>
    </w:p>
    <w:p w14:paraId="29D139AD" w14:textId="77777777" w:rsidR="00C20818" w:rsidRDefault="00C20818" w:rsidP="00C2081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A9E6F52" w14:textId="77777777" w:rsidR="00494F28" w:rsidRPr="00283371" w:rsidRDefault="00494F28" w:rsidP="00494F28">
      <w:pPr>
        <w:pStyle w:val="Testo2"/>
        <w:rPr>
          <w:rFonts w:ascii="Times New Roman" w:hAnsi="Times New Roman"/>
          <w:szCs w:val="18"/>
        </w:rPr>
      </w:pPr>
      <w:r w:rsidRPr="00283371">
        <w:rPr>
          <w:rFonts w:ascii="Times New Roman" w:hAnsi="Times New Roman"/>
          <w:color w:val="000000"/>
          <w:szCs w:val="18"/>
          <w:shd w:val="clear" w:color="auto" w:fill="FFFFFF"/>
        </w:rPr>
        <w:t>Qualora l’emergenza sanitaria dovesse protrarsi</w:t>
      </w:r>
      <w:r w:rsidRPr="00283371">
        <w:rPr>
          <w:rFonts w:ascii="Times New Roman" w:hAnsi="Times New Roman"/>
          <w:color w:val="000000"/>
          <w:szCs w:val="18"/>
          <w:bdr w:val="none" w:sz="0" w:space="0" w:color="auto" w:frame="1"/>
          <w:shd w:val="clear" w:color="auto" w:fill="F0F2F4"/>
        </w:rPr>
        <w:t>,</w:t>
      </w:r>
      <w:r w:rsidRPr="00283371">
        <w:rPr>
          <w:rFonts w:ascii="Times New Roman" w:hAnsi="Times New Roman"/>
          <w:color w:val="000000"/>
          <w:szCs w:val="18"/>
          <w:shd w:val="clear" w:color="auto" w:fill="FFFFFF"/>
        </w:rPr>
        <w:t> 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0B2195F4" w14:textId="77777777"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Modulo I: non è richiesta da parte degli studenti la conoscenza della lingua latina in quanto tutti i testi esaminati saranno forniti di traduzione.</w:t>
      </w:r>
    </w:p>
    <w:p w14:paraId="22825A1B" w14:textId="77777777"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Modulo A: è richiesta la conoscenza da parte degli studenti della lingua latina.</w:t>
      </w:r>
    </w:p>
    <w:p w14:paraId="7DC77494" w14:textId="77777777" w:rsidR="00494F28" w:rsidRPr="00283371" w:rsidRDefault="00494F28" w:rsidP="00494F28">
      <w:pPr>
        <w:pStyle w:val="Testo2"/>
        <w:spacing w:before="120"/>
        <w:rPr>
          <w:rFonts w:ascii="Times New Roman" w:hAnsi="Times New Roman"/>
          <w:i/>
        </w:rPr>
      </w:pPr>
      <w:r w:rsidRPr="00283371">
        <w:rPr>
          <w:rFonts w:ascii="Times New Roman" w:hAnsi="Times New Roman"/>
          <w:i/>
        </w:rPr>
        <w:t>Orario e luogo di ricevimento</w:t>
      </w:r>
    </w:p>
    <w:p w14:paraId="67D04980" w14:textId="77777777"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lastRenderedPageBreak/>
        <w:t>La Prof.ssa Carla Maria Monti riceve nello studio presso il Dipartimento di Studi medioevali umanistici e rinascimentali (Gregorianum, I piano) il martedì e il giovedì dalle ore</w:t>
      </w:r>
      <w:r w:rsidR="00271310">
        <w:rPr>
          <w:rFonts w:ascii="Times New Roman" w:hAnsi="Times New Roman"/>
        </w:rPr>
        <w:t xml:space="preserve"> 9,00 alle ore 11</w:t>
      </w:r>
      <w:r w:rsidRPr="00283371">
        <w:rPr>
          <w:rFonts w:ascii="Times New Roman" w:hAnsi="Times New Roman"/>
        </w:rPr>
        <w:t>,00.</w:t>
      </w:r>
    </w:p>
    <w:sectPr w:rsidR="00494F28" w:rsidRPr="0028337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2AF63" w14:textId="77777777" w:rsidR="00FA70F8" w:rsidRDefault="00FA70F8" w:rsidP="00FA70F8">
      <w:pPr>
        <w:spacing w:line="240" w:lineRule="auto"/>
      </w:pPr>
      <w:r>
        <w:separator/>
      </w:r>
    </w:p>
  </w:endnote>
  <w:endnote w:type="continuationSeparator" w:id="0">
    <w:p w14:paraId="2622A7BA" w14:textId="77777777" w:rsidR="00FA70F8" w:rsidRDefault="00FA70F8" w:rsidP="00FA7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8EBDD" w14:textId="77777777" w:rsidR="00FA70F8" w:rsidRDefault="00FA70F8" w:rsidP="00FA70F8">
      <w:pPr>
        <w:spacing w:line="240" w:lineRule="auto"/>
      </w:pPr>
      <w:r>
        <w:separator/>
      </w:r>
    </w:p>
  </w:footnote>
  <w:footnote w:type="continuationSeparator" w:id="0">
    <w:p w14:paraId="6D27588D" w14:textId="77777777" w:rsidR="00FA70F8" w:rsidRDefault="00FA70F8" w:rsidP="00FA70F8">
      <w:pPr>
        <w:spacing w:line="240" w:lineRule="auto"/>
      </w:pPr>
      <w:r>
        <w:continuationSeparator/>
      </w:r>
    </w:p>
  </w:footnote>
  <w:footnote w:id="1">
    <w:p w14:paraId="47F85973" w14:textId="77777777" w:rsidR="00FA70F8" w:rsidRDefault="00FA70F8" w:rsidP="00FA70F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20A0B30E" w14:textId="7553FC7C" w:rsidR="00FA70F8" w:rsidRDefault="00FA70F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DF"/>
    <w:rsid w:val="00011A17"/>
    <w:rsid w:val="0008259C"/>
    <w:rsid w:val="000930AE"/>
    <w:rsid w:val="00187B99"/>
    <w:rsid w:val="001C1D48"/>
    <w:rsid w:val="002014DD"/>
    <w:rsid w:val="00271310"/>
    <w:rsid w:val="002D5E17"/>
    <w:rsid w:val="002E189A"/>
    <w:rsid w:val="003035E0"/>
    <w:rsid w:val="00375375"/>
    <w:rsid w:val="00386DED"/>
    <w:rsid w:val="003F02E2"/>
    <w:rsid w:val="00476C62"/>
    <w:rsid w:val="00494F28"/>
    <w:rsid w:val="00495AFE"/>
    <w:rsid w:val="004D1217"/>
    <w:rsid w:val="004D6008"/>
    <w:rsid w:val="005602E7"/>
    <w:rsid w:val="005A7F3A"/>
    <w:rsid w:val="00640794"/>
    <w:rsid w:val="0064101F"/>
    <w:rsid w:val="006F1772"/>
    <w:rsid w:val="00713782"/>
    <w:rsid w:val="007E21B5"/>
    <w:rsid w:val="00850E8F"/>
    <w:rsid w:val="008942E7"/>
    <w:rsid w:val="008A1204"/>
    <w:rsid w:val="008A6C30"/>
    <w:rsid w:val="008E2E87"/>
    <w:rsid w:val="00900CCA"/>
    <w:rsid w:val="009126F8"/>
    <w:rsid w:val="00924B77"/>
    <w:rsid w:val="00940DA2"/>
    <w:rsid w:val="00975221"/>
    <w:rsid w:val="009E055C"/>
    <w:rsid w:val="00A23533"/>
    <w:rsid w:val="00A74F6F"/>
    <w:rsid w:val="00AD7557"/>
    <w:rsid w:val="00AE6071"/>
    <w:rsid w:val="00AF5B7E"/>
    <w:rsid w:val="00B01194"/>
    <w:rsid w:val="00B50C5D"/>
    <w:rsid w:val="00B51253"/>
    <w:rsid w:val="00B525CC"/>
    <w:rsid w:val="00B8530A"/>
    <w:rsid w:val="00BA3D39"/>
    <w:rsid w:val="00BE5BDF"/>
    <w:rsid w:val="00C20818"/>
    <w:rsid w:val="00C37F48"/>
    <w:rsid w:val="00D133B9"/>
    <w:rsid w:val="00D404F2"/>
    <w:rsid w:val="00DA6F07"/>
    <w:rsid w:val="00E4752D"/>
    <w:rsid w:val="00E52DA9"/>
    <w:rsid w:val="00E607E6"/>
    <w:rsid w:val="00F33D2B"/>
    <w:rsid w:val="00FA70F8"/>
    <w:rsid w:val="00FB2125"/>
    <w:rsid w:val="00FD4113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20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9752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7522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FA70F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0F8"/>
  </w:style>
  <w:style w:type="character" w:styleId="Rimandonotaapidipagina">
    <w:name w:val="footnote reference"/>
    <w:basedOn w:val="Carpredefinitoparagrafo"/>
    <w:semiHidden/>
    <w:unhideWhenUsed/>
    <w:rsid w:val="00FA70F8"/>
    <w:rPr>
      <w:vertAlign w:val="superscript"/>
    </w:rPr>
  </w:style>
  <w:style w:type="character" w:styleId="Collegamentoipertestuale">
    <w:name w:val="Hyperlink"/>
    <w:basedOn w:val="Carpredefinitoparagrafo"/>
    <w:unhideWhenUsed/>
    <w:rsid w:val="00FA70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9752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7522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FA70F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0F8"/>
  </w:style>
  <w:style w:type="character" w:styleId="Rimandonotaapidipagina">
    <w:name w:val="footnote reference"/>
    <w:basedOn w:val="Carpredefinitoparagrafo"/>
    <w:semiHidden/>
    <w:unhideWhenUsed/>
    <w:rsid w:val="00FA70F8"/>
    <w:rPr>
      <w:vertAlign w:val="superscript"/>
    </w:rPr>
  </w:style>
  <w:style w:type="character" w:styleId="Collegamentoipertestuale">
    <w:name w:val="Hyperlink"/>
    <w:basedOn w:val="Carpredefinitoparagrafo"/>
    <w:unhideWhenUsed/>
    <w:rsid w:val="00FA7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billanovich/petrarca-e-il-primo-umanesimo-9788884552327-255876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onica-berte-marco-petoletti/la-filologia-medievale-e-umanistica-9788815265432-2528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onica-berte-marco-petoletti/la-filologia-medievale-e-umanistica-9788815265432-25280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uido-cappelli/lumanesimo-italiano-da-petrarca-a-valla-9788843091348-529666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F6F0-140C-41AF-BDC3-59641B3D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1067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2022-05-13T08:56:00Z</cp:lastPrinted>
  <dcterms:created xsi:type="dcterms:W3CDTF">2022-05-16T10:10:00Z</dcterms:created>
  <dcterms:modified xsi:type="dcterms:W3CDTF">2022-07-14T13:31:00Z</dcterms:modified>
</cp:coreProperties>
</file>