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4E79081F" w:rsidR="00AD45F6" w:rsidRPr="00803441" w:rsidRDefault="00803441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</w:t>
      </w:r>
      <w:r w:rsidRPr="0080344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rgumentation in </w:t>
      </w:r>
      <w:r w:rsidR="0053357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F</w:t>
      </w:r>
      <w:r w:rsidRPr="0080344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inance</w:t>
      </w:r>
    </w:p>
    <w:p w14:paraId="060E0FA4" w14:textId="0EFAC60D" w:rsidR="00AD45F6" w:rsidRPr="0053357B" w:rsidRDefault="00A70899" w:rsidP="00803441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53357B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53357B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803441" w:rsidRPr="0053357B">
        <w:rPr>
          <w:rFonts w:eastAsia="Times New Roman" w:cs="Times New Roman"/>
          <w:noProof/>
          <w:kern w:val="0"/>
          <w:szCs w:val="20"/>
          <w:lang w:eastAsia="it-IT"/>
        </w:rPr>
        <w:t>Rudi Palmieri; Prof. Andrea Rocci</w:t>
      </w:r>
    </w:p>
    <w:p w14:paraId="1F27F9A6" w14:textId="077FD9B3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AE080B" w:rsidRPr="00750648">
          <w:rPr>
            <w:rStyle w:val="Collegamentoipertestuale"/>
          </w:rPr>
          <w:t>https://search.usi.ch/corsi/35263539/argumentation-in-finance?_gl=1*1fzfqom*_ga*MTQ3ODg1NDY1Ny4xNjU4MTI5NTA4*_ga_89Y0EEKVWP*MTY1ODEyOTUwOC4xLjEuMTY1ODEzMTU5Mi40OQ..&amp;_ga=2.250850566.1683928856.1658129508-1478854657.1658129508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21801">
    <w:abstractNumId w:val="0"/>
  </w:num>
  <w:num w:numId="2" w16cid:durableId="714279353">
    <w:abstractNumId w:val="3"/>
  </w:num>
  <w:num w:numId="3" w16cid:durableId="1063484858">
    <w:abstractNumId w:val="1"/>
  </w:num>
  <w:num w:numId="4" w16cid:durableId="806164064">
    <w:abstractNumId w:val="4"/>
  </w:num>
  <w:num w:numId="5" w16cid:durableId="1892304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3357B"/>
    <w:rsid w:val="005A2776"/>
    <w:rsid w:val="005A5BD7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03441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080B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AE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539/argumentation-in-finance?_gl=1*1fzfqom*_ga*MTQ3ODg1NDY1Ny4xNjU4MTI5NTA4*_ga_89Y0EEKVWP*MTY1ODEyOTUwOC4xLjEuMTY1ODEzMTU5Mi40OQ..&amp;_ga=2.250850566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2022-07-18T08:10:00Z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