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16F04" w14:textId="77777777" w:rsidR="002D5E17" w:rsidRPr="00A32E32" w:rsidRDefault="00A32E32" w:rsidP="002D5E17">
      <w:pPr>
        <w:pStyle w:val="Titolo1"/>
        <w:rPr>
          <w:lang w:val="en-US"/>
        </w:rPr>
      </w:pPr>
      <w:r w:rsidRPr="00A32E32">
        <w:rPr>
          <w:lang w:val="en-US"/>
        </w:rPr>
        <w:t>Economics of the EU</w:t>
      </w:r>
    </w:p>
    <w:p w14:paraId="2ABCD3B5" w14:textId="77777777" w:rsidR="00A32E32" w:rsidRPr="00AB308E" w:rsidRDefault="00A32E32" w:rsidP="00A32E32">
      <w:pPr>
        <w:pStyle w:val="Titolo2"/>
        <w:rPr>
          <w:lang w:val="en-US"/>
        </w:rPr>
      </w:pPr>
      <w:r w:rsidRPr="001B7185">
        <w:rPr>
          <w:lang w:val="en-GB"/>
        </w:rPr>
        <w:t xml:space="preserve">Prof. </w:t>
      </w:r>
      <w:r w:rsidRPr="00A32E32">
        <w:t xml:space="preserve">Raul Caruso; Prof. Andrea Boitani; Prof. </w:t>
      </w:r>
      <w:r w:rsidRPr="00AB308E">
        <w:rPr>
          <w:lang w:val="en-US"/>
        </w:rPr>
        <w:t>Daniele Siena</w:t>
      </w:r>
    </w:p>
    <w:p w14:paraId="291285C5" w14:textId="77777777" w:rsidR="00A32E32" w:rsidRPr="00514034" w:rsidRDefault="00A32E32" w:rsidP="00A32E3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6A2A730" w14:textId="77777777" w:rsidR="00A32E32" w:rsidRPr="00910DCB" w:rsidRDefault="00A32E32" w:rsidP="00A32E32">
      <w:pPr>
        <w:rPr>
          <w:lang w:val="en-US"/>
        </w:rPr>
      </w:pPr>
      <w:r w:rsidRPr="00910DCB">
        <w:rPr>
          <w:lang w:val="en-US"/>
        </w:rPr>
        <w:t>The course is designed to deal with the economics of the EU. In particular, the course is focused on economic integration and EU economic policies. In addition, the course is also intended to deal with institutional aspects of EU and how they adapt to historical turning points. The course can be ideally split into three sections: (</w:t>
      </w:r>
      <w:proofErr w:type="spellStart"/>
      <w:r w:rsidRPr="00910DCB">
        <w:rPr>
          <w:lang w:val="en-US"/>
        </w:rPr>
        <w:t>i</w:t>
      </w:r>
      <w:proofErr w:type="spellEnd"/>
      <w:r w:rsidRPr="00910DCB">
        <w:rPr>
          <w:lang w:val="en-US"/>
        </w:rPr>
        <w:t xml:space="preserve">) in a first section the historical and institutional steps of European integration are presented with a special focus on decision-making processes within the EU; (ii) in a second section the essential economics of EU is introduced also highlighting some crucial economic policies like the CAP, the EU trade policy, the competition and state aid policy; (iii) in a third section the course will focus on the main steps of the European </w:t>
      </w:r>
      <w:r w:rsidRPr="00910DCB">
        <w:rPr>
          <w:i/>
          <w:lang w:val="en-US"/>
        </w:rPr>
        <w:t>monetary</w:t>
      </w:r>
      <w:r w:rsidRPr="00910DCB">
        <w:rPr>
          <w:lang w:val="en-US"/>
        </w:rPr>
        <w:t xml:space="preserve"> integration, the common currency and of the European Central Bank, the main policy issues and challenges facing the EU in the light of the Sovereign Debt Crisis a</w:t>
      </w:r>
      <w:r w:rsidR="001B7185">
        <w:rPr>
          <w:lang w:val="en-US"/>
        </w:rPr>
        <w:t xml:space="preserve">nd the COVID-19 pandemic crisis </w:t>
      </w:r>
      <w:r w:rsidR="001B7185">
        <w:rPr>
          <w:szCs w:val="20"/>
          <w:lang w:val="en-US"/>
        </w:rPr>
        <w:t xml:space="preserve">and the Russia-Ukraine War. </w:t>
      </w:r>
    </w:p>
    <w:p w14:paraId="68F4C75C" w14:textId="77777777" w:rsidR="00A32E32" w:rsidRDefault="00A32E32" w:rsidP="00A32E32">
      <w:pPr>
        <w:rPr>
          <w:lang w:val="en-US"/>
        </w:rPr>
      </w:pPr>
      <w:r>
        <w:rPr>
          <w:lang w:val="en-US"/>
        </w:rPr>
        <w:t>With respect to the criterion of ‘</w:t>
      </w:r>
      <w:r>
        <w:rPr>
          <w:lang w:val="en-GB"/>
        </w:rPr>
        <w:t>k</w:t>
      </w:r>
      <w:r w:rsidRPr="0061423D">
        <w:rPr>
          <w:lang w:val="en-GB"/>
        </w:rPr>
        <w:t>nowledge and understanding</w:t>
      </w:r>
      <w:r>
        <w:rPr>
          <w:lang w:val="en-GB"/>
        </w:rPr>
        <w:t>’ a</w:t>
      </w:r>
      <w:proofErr w:type="spellStart"/>
      <w:r w:rsidRPr="00910DCB">
        <w:rPr>
          <w:lang w:val="en-US"/>
        </w:rPr>
        <w:t>t</w:t>
      </w:r>
      <w:proofErr w:type="spellEnd"/>
      <w:r w:rsidRPr="00910DCB">
        <w:rPr>
          <w:lang w:val="en-US"/>
        </w:rPr>
        <w:t xml:space="preserve"> the end of the course students will be able to:</w:t>
      </w:r>
    </w:p>
    <w:p w14:paraId="1190F5FB" w14:textId="77777777" w:rsidR="00A32E32" w:rsidRPr="00910DCB" w:rsidRDefault="00A32E32" w:rsidP="00A32E32">
      <w:pPr>
        <w:rPr>
          <w:lang w:val="en-US"/>
        </w:rPr>
      </w:pPr>
      <w:r>
        <w:rPr>
          <w:lang w:val="en-US"/>
        </w:rPr>
        <w:t>–</w:t>
      </w:r>
      <w:r>
        <w:rPr>
          <w:lang w:val="en-US"/>
        </w:rPr>
        <w:tab/>
      </w:r>
      <w:r w:rsidRPr="00910DCB">
        <w:rPr>
          <w:lang w:val="en-US"/>
        </w:rPr>
        <w:t>understand the essential turning points of European Integration;</w:t>
      </w:r>
    </w:p>
    <w:p w14:paraId="013964B2" w14:textId="77777777" w:rsidR="00A32E32" w:rsidRPr="00910DCB" w:rsidRDefault="00A32E32" w:rsidP="00A32E32">
      <w:pPr>
        <w:rPr>
          <w:lang w:val="en-US"/>
        </w:rPr>
      </w:pPr>
      <w:r>
        <w:rPr>
          <w:lang w:val="en-US"/>
        </w:rPr>
        <w:t>–</w:t>
      </w:r>
      <w:r>
        <w:rPr>
          <w:lang w:val="en-US"/>
        </w:rPr>
        <w:tab/>
      </w:r>
      <w:r w:rsidRPr="00910DCB">
        <w:rPr>
          <w:lang w:val="en-US"/>
        </w:rPr>
        <w:t>understand the current institutional structure of the European Union;</w:t>
      </w:r>
    </w:p>
    <w:p w14:paraId="11D8B139" w14:textId="77777777" w:rsidR="00A32E32" w:rsidRDefault="00A32E32" w:rsidP="00A32E32">
      <w:pPr>
        <w:rPr>
          <w:lang w:val="en-US"/>
        </w:rPr>
      </w:pPr>
      <w:r>
        <w:rPr>
          <w:lang w:val="en-US"/>
        </w:rPr>
        <w:t>–</w:t>
      </w:r>
      <w:r>
        <w:rPr>
          <w:lang w:val="en-US"/>
        </w:rPr>
        <w:tab/>
      </w:r>
      <w:r w:rsidRPr="00910DCB">
        <w:rPr>
          <w:lang w:val="en-US"/>
        </w:rPr>
        <w:t>understand the essential economics of European integration</w:t>
      </w:r>
    </w:p>
    <w:p w14:paraId="41137FCC" w14:textId="77777777" w:rsidR="00A32E32" w:rsidRPr="00910DCB" w:rsidRDefault="00A32E32" w:rsidP="00A32E32">
      <w:pPr>
        <w:rPr>
          <w:lang w:val="en-US"/>
        </w:rPr>
      </w:pPr>
      <w:r>
        <w:rPr>
          <w:lang w:val="en-US"/>
        </w:rPr>
        <w:t>–</w:t>
      </w:r>
      <w:r>
        <w:rPr>
          <w:lang w:val="en-US"/>
        </w:rPr>
        <w:tab/>
        <w:t xml:space="preserve">understand the impact of European integration and policies on welfare. </w:t>
      </w:r>
    </w:p>
    <w:p w14:paraId="241A7AE8" w14:textId="77777777" w:rsidR="00A32E32" w:rsidRDefault="00A32E32" w:rsidP="00A32E32">
      <w:pPr>
        <w:rPr>
          <w:lang w:val="en-US"/>
        </w:rPr>
      </w:pPr>
      <w:r>
        <w:rPr>
          <w:lang w:val="en-US"/>
        </w:rPr>
        <w:t>With respect to the criterion of ‘a</w:t>
      </w:r>
      <w:proofErr w:type="spellStart"/>
      <w:r w:rsidRPr="0061423D">
        <w:rPr>
          <w:lang w:val="en-GB"/>
        </w:rPr>
        <w:t>pplying</w:t>
      </w:r>
      <w:proofErr w:type="spellEnd"/>
      <w:r w:rsidRPr="0061423D">
        <w:rPr>
          <w:lang w:val="en-GB"/>
        </w:rPr>
        <w:t xml:space="preserve"> knowledge and understanding</w:t>
      </w:r>
      <w:r>
        <w:rPr>
          <w:lang w:val="en-GB"/>
        </w:rPr>
        <w:t>’ a</w:t>
      </w:r>
      <w:proofErr w:type="spellStart"/>
      <w:r w:rsidRPr="00910DCB">
        <w:rPr>
          <w:lang w:val="en-US"/>
        </w:rPr>
        <w:t>t</w:t>
      </w:r>
      <w:proofErr w:type="spellEnd"/>
      <w:r w:rsidRPr="00910DCB">
        <w:rPr>
          <w:lang w:val="en-US"/>
        </w:rPr>
        <w:t xml:space="preserve"> the end of the course students will be able to:</w:t>
      </w:r>
    </w:p>
    <w:p w14:paraId="26E9E482" w14:textId="77777777" w:rsidR="00A32E32" w:rsidRDefault="00A32E32" w:rsidP="00A32E32">
      <w:pPr>
        <w:ind w:left="284" w:hanging="284"/>
        <w:rPr>
          <w:lang w:val="en-US"/>
        </w:rPr>
      </w:pPr>
      <w:r>
        <w:rPr>
          <w:lang w:val="en-US"/>
        </w:rPr>
        <w:t>–</w:t>
      </w:r>
      <w:r>
        <w:rPr>
          <w:lang w:val="en-US"/>
        </w:rPr>
        <w:tab/>
      </w:r>
      <w:r w:rsidRPr="00910DCB">
        <w:rPr>
          <w:lang w:val="en-US"/>
        </w:rPr>
        <w:t>apply their knowledge to evaluate the strengths and weaknesses of the European institutional set-up;</w:t>
      </w:r>
    </w:p>
    <w:p w14:paraId="75F01AFA" w14:textId="77777777" w:rsidR="00A32E32" w:rsidRPr="00910DCB" w:rsidRDefault="00A32E32" w:rsidP="00A32E32">
      <w:pPr>
        <w:ind w:left="284" w:hanging="284"/>
        <w:rPr>
          <w:lang w:val="en-US"/>
        </w:rPr>
      </w:pPr>
      <w:r>
        <w:rPr>
          <w:lang w:val="en-US"/>
        </w:rPr>
        <w:t>–</w:t>
      </w:r>
      <w:r>
        <w:rPr>
          <w:lang w:val="en-US"/>
        </w:rPr>
        <w:tab/>
      </w:r>
      <w:r w:rsidRPr="00910DCB">
        <w:rPr>
          <w:lang w:val="en-US"/>
        </w:rPr>
        <w:t xml:space="preserve">form their own opinions on the main economic policy issues of the European Union; </w:t>
      </w:r>
    </w:p>
    <w:p w14:paraId="1747DB2A" w14:textId="77777777" w:rsidR="00A32E32" w:rsidRPr="00910DCB" w:rsidRDefault="00A32E32" w:rsidP="00A32E32">
      <w:pPr>
        <w:ind w:left="284" w:hanging="284"/>
        <w:rPr>
          <w:lang w:val="en-US"/>
        </w:rPr>
      </w:pPr>
      <w:r>
        <w:rPr>
          <w:lang w:val="en-US"/>
        </w:rPr>
        <w:t>–</w:t>
      </w:r>
      <w:r>
        <w:rPr>
          <w:lang w:val="en-US"/>
        </w:rPr>
        <w:tab/>
      </w:r>
      <w:r w:rsidRPr="00910DCB">
        <w:rPr>
          <w:lang w:val="en-US"/>
        </w:rPr>
        <w:t xml:space="preserve">communicate and express opinions in the current debate with the correct, technical, terminology. </w:t>
      </w:r>
    </w:p>
    <w:p w14:paraId="3AAF94ED" w14:textId="77777777" w:rsidR="00A32E32" w:rsidRPr="00514034" w:rsidRDefault="00A32E32" w:rsidP="00A32E32">
      <w:pPr>
        <w:spacing w:before="240" w:after="120"/>
        <w:rPr>
          <w:b/>
          <w:i/>
          <w:sz w:val="18"/>
          <w:lang w:val="en-US"/>
        </w:rPr>
      </w:pPr>
      <w:r w:rsidRPr="00514034">
        <w:rPr>
          <w:b/>
          <w:i/>
          <w:sz w:val="18"/>
          <w:lang w:val="en-US"/>
        </w:rPr>
        <w:t>COURSE CONTENT</w:t>
      </w:r>
    </w:p>
    <w:p w14:paraId="7CF12A8D" w14:textId="77777777" w:rsidR="00A32E32" w:rsidRPr="00A32E32" w:rsidRDefault="00A32E32" w:rsidP="00A32E32">
      <w:pPr>
        <w:rPr>
          <w:szCs w:val="20"/>
          <w:lang w:val="en-US"/>
        </w:rPr>
      </w:pPr>
      <w:r>
        <w:rPr>
          <w:szCs w:val="20"/>
          <w:lang w:val="en-US"/>
        </w:rPr>
        <w:t>1.</w:t>
      </w:r>
      <w:r>
        <w:rPr>
          <w:szCs w:val="20"/>
          <w:lang w:val="en-US"/>
        </w:rPr>
        <w:tab/>
      </w:r>
      <w:r w:rsidRPr="00A32E32">
        <w:rPr>
          <w:szCs w:val="20"/>
          <w:lang w:val="en-US"/>
        </w:rPr>
        <w:t>History of European Integration</w:t>
      </w:r>
    </w:p>
    <w:p w14:paraId="4AFA56FD" w14:textId="77777777" w:rsidR="00A32E32" w:rsidRPr="00A32E32" w:rsidRDefault="00A32E32" w:rsidP="00A32E32">
      <w:pPr>
        <w:rPr>
          <w:szCs w:val="20"/>
          <w:lang w:val="en-US"/>
        </w:rPr>
      </w:pPr>
      <w:r>
        <w:rPr>
          <w:bCs/>
          <w:szCs w:val="20"/>
          <w:lang w:val="en-GB"/>
        </w:rPr>
        <w:t>2.</w:t>
      </w:r>
      <w:r>
        <w:rPr>
          <w:bCs/>
          <w:szCs w:val="20"/>
          <w:lang w:val="en-GB"/>
        </w:rPr>
        <w:tab/>
      </w:r>
      <w:r w:rsidRPr="00A32E32">
        <w:rPr>
          <w:bCs/>
          <w:szCs w:val="20"/>
          <w:lang w:val="en-GB"/>
        </w:rPr>
        <w:t>Institutions and the budget of the EU</w:t>
      </w:r>
    </w:p>
    <w:p w14:paraId="00E7F3D1" w14:textId="77777777" w:rsidR="00A32E32" w:rsidRPr="00A32E32" w:rsidRDefault="00A32E32" w:rsidP="00A32E32">
      <w:pPr>
        <w:rPr>
          <w:szCs w:val="20"/>
          <w:lang w:val="en-US"/>
        </w:rPr>
      </w:pPr>
      <w:r>
        <w:rPr>
          <w:szCs w:val="20"/>
          <w:lang w:val="en-US"/>
        </w:rPr>
        <w:t>3.</w:t>
      </w:r>
      <w:r>
        <w:rPr>
          <w:szCs w:val="20"/>
          <w:lang w:val="en-US"/>
        </w:rPr>
        <w:tab/>
      </w:r>
      <w:r w:rsidRPr="00A32E32">
        <w:rPr>
          <w:szCs w:val="20"/>
          <w:lang w:val="en-US"/>
        </w:rPr>
        <w:t xml:space="preserve">The </w:t>
      </w:r>
      <w:r w:rsidRPr="00A32E32">
        <w:rPr>
          <w:bCs/>
          <w:szCs w:val="20"/>
          <w:lang w:val="en-US"/>
        </w:rPr>
        <w:t>Decision making system</w:t>
      </w:r>
    </w:p>
    <w:p w14:paraId="5D814C7A" w14:textId="77777777" w:rsidR="00A32E32" w:rsidRPr="00A32E32" w:rsidRDefault="00A32E32" w:rsidP="00A32E32">
      <w:pPr>
        <w:rPr>
          <w:szCs w:val="20"/>
          <w:lang w:val="en-US"/>
        </w:rPr>
      </w:pPr>
      <w:r>
        <w:rPr>
          <w:szCs w:val="20"/>
          <w:lang w:val="en-US"/>
        </w:rPr>
        <w:t>4.</w:t>
      </w:r>
      <w:r>
        <w:rPr>
          <w:szCs w:val="20"/>
          <w:lang w:val="en-US"/>
        </w:rPr>
        <w:tab/>
      </w:r>
      <w:r w:rsidRPr="00A32E32">
        <w:rPr>
          <w:szCs w:val="20"/>
          <w:lang w:val="en-US"/>
        </w:rPr>
        <w:t>The essential economics of integration and preferential liberalization</w:t>
      </w:r>
    </w:p>
    <w:p w14:paraId="445FBCF6" w14:textId="77777777" w:rsidR="00A32E32" w:rsidRPr="00A32E32" w:rsidRDefault="00A32E32" w:rsidP="00A32E32">
      <w:pPr>
        <w:rPr>
          <w:szCs w:val="20"/>
          <w:lang w:val="en-US"/>
        </w:rPr>
      </w:pPr>
      <w:r>
        <w:rPr>
          <w:szCs w:val="20"/>
          <w:lang w:val="en-US"/>
        </w:rPr>
        <w:lastRenderedPageBreak/>
        <w:t>5.</w:t>
      </w:r>
      <w:r>
        <w:rPr>
          <w:szCs w:val="20"/>
          <w:lang w:val="en-US"/>
        </w:rPr>
        <w:tab/>
      </w:r>
      <w:r w:rsidRPr="00A32E32">
        <w:rPr>
          <w:szCs w:val="20"/>
          <w:lang w:val="en-US"/>
        </w:rPr>
        <w:t>The common agricultural policy</w:t>
      </w:r>
    </w:p>
    <w:p w14:paraId="27E10A1A" w14:textId="77777777" w:rsidR="00A32E32" w:rsidRPr="00A32E32" w:rsidRDefault="00A32E32" w:rsidP="00A32E32">
      <w:pPr>
        <w:ind w:left="284" w:hanging="284"/>
        <w:rPr>
          <w:szCs w:val="20"/>
          <w:lang w:val="en-US"/>
        </w:rPr>
      </w:pPr>
      <w:r>
        <w:rPr>
          <w:szCs w:val="20"/>
          <w:lang w:val="en-US"/>
        </w:rPr>
        <w:t>6.</w:t>
      </w:r>
      <w:r>
        <w:rPr>
          <w:szCs w:val="20"/>
          <w:lang w:val="en-US"/>
        </w:rPr>
        <w:tab/>
      </w:r>
      <w:r w:rsidRPr="00A32E32">
        <w:rPr>
          <w:szCs w:val="20"/>
          <w:lang w:val="en-US"/>
        </w:rPr>
        <w:t>EU competition and State aid policy</w:t>
      </w:r>
    </w:p>
    <w:p w14:paraId="7F4D4E06" w14:textId="77777777" w:rsidR="00A32E32" w:rsidRPr="00A32E32" w:rsidRDefault="00A32E32" w:rsidP="00A32E32">
      <w:pPr>
        <w:ind w:left="284" w:hanging="284"/>
        <w:rPr>
          <w:szCs w:val="20"/>
          <w:lang w:val="en-US"/>
        </w:rPr>
      </w:pPr>
      <w:r>
        <w:rPr>
          <w:szCs w:val="20"/>
          <w:lang w:val="en-US"/>
        </w:rPr>
        <w:t>7.</w:t>
      </w:r>
      <w:r>
        <w:rPr>
          <w:szCs w:val="20"/>
          <w:lang w:val="en-US"/>
        </w:rPr>
        <w:tab/>
      </w:r>
      <w:r w:rsidRPr="00A32E32">
        <w:rPr>
          <w:szCs w:val="20"/>
          <w:lang w:val="en-US"/>
        </w:rPr>
        <w:t>EU Trade Policy</w:t>
      </w:r>
    </w:p>
    <w:p w14:paraId="53B7406D" w14:textId="77777777" w:rsidR="00A32E32" w:rsidRPr="00A32E32" w:rsidRDefault="00A32E32" w:rsidP="00A32E32">
      <w:pPr>
        <w:ind w:left="284" w:hanging="284"/>
        <w:rPr>
          <w:szCs w:val="20"/>
          <w:lang w:val="en-US"/>
        </w:rPr>
      </w:pPr>
      <w:r>
        <w:rPr>
          <w:szCs w:val="20"/>
          <w:lang w:val="en-US"/>
        </w:rPr>
        <w:t>8.</w:t>
      </w:r>
      <w:r>
        <w:rPr>
          <w:szCs w:val="20"/>
          <w:lang w:val="en-US"/>
        </w:rPr>
        <w:tab/>
      </w:r>
      <w:r w:rsidRPr="00A32E32">
        <w:rPr>
          <w:szCs w:val="20"/>
          <w:lang w:val="en-US"/>
        </w:rPr>
        <w:t>Advantages and disadvantages of a monetary union.</w:t>
      </w:r>
    </w:p>
    <w:p w14:paraId="382F865E" w14:textId="77777777" w:rsidR="00A32E32" w:rsidRPr="00A32E32" w:rsidRDefault="00A32E32" w:rsidP="00A32E32">
      <w:pPr>
        <w:ind w:left="284" w:hanging="284"/>
        <w:rPr>
          <w:szCs w:val="20"/>
          <w:lang w:val="en-US"/>
        </w:rPr>
      </w:pPr>
      <w:r>
        <w:rPr>
          <w:szCs w:val="20"/>
          <w:lang w:val="en-US"/>
        </w:rPr>
        <w:t>9.</w:t>
      </w:r>
      <w:r>
        <w:rPr>
          <w:szCs w:val="20"/>
          <w:lang w:val="en-US"/>
        </w:rPr>
        <w:tab/>
      </w:r>
      <w:r w:rsidRPr="00A32E32">
        <w:rPr>
          <w:szCs w:val="20"/>
          <w:lang w:val="en-US"/>
        </w:rPr>
        <w:t>The common monetary policy and the European Central Bank: design and performance.</w:t>
      </w:r>
    </w:p>
    <w:p w14:paraId="124285CA" w14:textId="77777777" w:rsidR="00A32E32" w:rsidRPr="00A32E32" w:rsidRDefault="00A32E32" w:rsidP="00A32E32">
      <w:pPr>
        <w:ind w:left="284" w:hanging="284"/>
        <w:rPr>
          <w:szCs w:val="20"/>
          <w:lang w:val="en-US"/>
        </w:rPr>
      </w:pPr>
      <w:r>
        <w:rPr>
          <w:szCs w:val="20"/>
          <w:lang w:val="en-US"/>
        </w:rPr>
        <w:t>10.</w:t>
      </w:r>
      <w:r>
        <w:rPr>
          <w:szCs w:val="20"/>
          <w:lang w:val="en-US"/>
        </w:rPr>
        <w:tab/>
      </w:r>
      <w:r w:rsidRPr="00A32E32">
        <w:rPr>
          <w:szCs w:val="20"/>
          <w:lang w:val="en-US"/>
        </w:rPr>
        <w:t>Monetary and Fiscal integration in the EU.</w:t>
      </w:r>
    </w:p>
    <w:p w14:paraId="1D134E5B" w14:textId="77777777" w:rsidR="00A32E32" w:rsidRPr="00A32E32" w:rsidRDefault="00A32E32" w:rsidP="00A32E32">
      <w:pPr>
        <w:ind w:left="284" w:hanging="284"/>
        <w:rPr>
          <w:bCs/>
          <w:i/>
          <w:iCs/>
          <w:szCs w:val="20"/>
          <w:lang w:val="en-GB"/>
        </w:rPr>
      </w:pPr>
      <w:r>
        <w:rPr>
          <w:szCs w:val="20"/>
          <w:lang w:val="en-US"/>
        </w:rPr>
        <w:t>11.</w:t>
      </w:r>
      <w:r>
        <w:rPr>
          <w:szCs w:val="20"/>
          <w:lang w:val="en-US"/>
        </w:rPr>
        <w:tab/>
      </w:r>
      <w:r w:rsidRPr="00A32E32">
        <w:rPr>
          <w:szCs w:val="20"/>
          <w:lang w:val="en-US"/>
        </w:rPr>
        <w:t xml:space="preserve">The European Sovereign Debt Crisis and the COVID-19 pandemic Crisis: response of the ECB and of the EU. </w:t>
      </w:r>
    </w:p>
    <w:p w14:paraId="08B1C6D6" w14:textId="24159453" w:rsidR="00A32E32" w:rsidRPr="00514034" w:rsidRDefault="00A32E32" w:rsidP="00A32E32">
      <w:pPr>
        <w:spacing w:before="240" w:after="120"/>
        <w:rPr>
          <w:b/>
          <w:i/>
          <w:sz w:val="18"/>
          <w:lang w:val="en-US"/>
        </w:rPr>
      </w:pPr>
      <w:r w:rsidRPr="00514034">
        <w:rPr>
          <w:b/>
          <w:i/>
          <w:sz w:val="18"/>
          <w:lang w:val="en-US"/>
        </w:rPr>
        <w:t>READING LIST</w:t>
      </w:r>
      <w:r w:rsidR="00AB308E">
        <w:rPr>
          <w:rStyle w:val="Rimandonotaapidipagina"/>
          <w:b/>
          <w:i/>
          <w:sz w:val="18"/>
          <w:lang w:val="en-US"/>
        </w:rPr>
        <w:footnoteReference w:id="1"/>
      </w:r>
    </w:p>
    <w:p w14:paraId="2725C80D" w14:textId="77777777" w:rsidR="00A32E32" w:rsidRPr="00910DCB" w:rsidRDefault="00A32E32" w:rsidP="00A32E32">
      <w:pPr>
        <w:pStyle w:val="Testo1"/>
        <w:ind w:firstLine="0"/>
        <w:rPr>
          <w:lang w:val="en-US"/>
        </w:rPr>
      </w:pPr>
      <w:r>
        <w:rPr>
          <w:lang w:val="en-GB"/>
        </w:rPr>
        <w:t>R</w:t>
      </w:r>
      <w:r w:rsidRPr="00910DCB">
        <w:rPr>
          <w:lang w:val="en-GB"/>
        </w:rPr>
        <w:t>eferences - reading list</w:t>
      </w:r>
      <w:r w:rsidRPr="00910DCB">
        <w:rPr>
          <w:lang w:val="en-US"/>
        </w:rPr>
        <w:t xml:space="preserve"> </w:t>
      </w:r>
    </w:p>
    <w:p w14:paraId="6F78590F" w14:textId="6B3BAA9F" w:rsidR="00A32E32" w:rsidRPr="00AB308E" w:rsidRDefault="00A32E32" w:rsidP="00A32E32">
      <w:pPr>
        <w:pStyle w:val="Testo1"/>
        <w:spacing w:before="0"/>
        <w:rPr>
          <w:spacing w:val="-5"/>
          <w:lang w:val="en-US"/>
        </w:rPr>
      </w:pPr>
      <w:r w:rsidRPr="00910DCB">
        <w:rPr>
          <w:smallCaps/>
          <w:spacing w:val="-5"/>
          <w:lang w:val="en-US"/>
        </w:rPr>
        <w:t xml:space="preserve">Baldwin R., Wyplosz B., </w:t>
      </w:r>
      <w:r w:rsidRPr="00910DCB">
        <w:rPr>
          <w:spacing w:val="-5"/>
          <w:lang w:val="en-US"/>
        </w:rPr>
        <w:t>The Economics of European INtegration</w:t>
      </w:r>
      <w:r w:rsidRPr="00910DCB">
        <w:rPr>
          <w:smallCaps/>
          <w:spacing w:val="-5"/>
          <w:lang w:val="en-US"/>
        </w:rPr>
        <w:t xml:space="preserve">, </w:t>
      </w:r>
      <w:r w:rsidRPr="00910DCB">
        <w:rPr>
          <w:spacing w:val="-5"/>
          <w:lang w:val="en-US"/>
        </w:rPr>
        <w:t>Mcgraw-Hill Education, 6</w:t>
      </w:r>
      <w:r w:rsidRPr="00910DCB">
        <w:rPr>
          <w:spacing w:val="-5"/>
          <w:vertAlign w:val="superscript"/>
          <w:lang w:val="en-US"/>
        </w:rPr>
        <w:t>th</w:t>
      </w:r>
      <w:r w:rsidRPr="00910DCB">
        <w:rPr>
          <w:spacing w:val="-5"/>
          <w:lang w:val="en-US"/>
        </w:rPr>
        <w:t xml:space="preserve"> Edition 2019</w:t>
      </w:r>
      <w:r>
        <w:rPr>
          <w:spacing w:val="-5"/>
          <w:lang w:val="en-US"/>
        </w:rPr>
        <w:t xml:space="preserve">, </w:t>
      </w:r>
      <w:r w:rsidRPr="00910DCB">
        <w:rPr>
          <w:spacing w:val="-5"/>
          <w:lang w:val="en-US"/>
        </w:rPr>
        <w:t>Chapters 1,2,3,4,5,</w:t>
      </w:r>
      <w:r>
        <w:rPr>
          <w:spacing w:val="-5"/>
          <w:lang w:val="en-US"/>
        </w:rPr>
        <w:t xml:space="preserve">6, 7, </w:t>
      </w:r>
      <w:r w:rsidRPr="00910DCB">
        <w:rPr>
          <w:spacing w:val="-5"/>
          <w:lang w:val="en-US"/>
        </w:rPr>
        <w:t xml:space="preserve">8,9,11,12 </w:t>
      </w:r>
      <w:r w:rsidR="00AB308E">
        <w:rPr>
          <w:spacing w:val="-5"/>
          <w:lang w:val="en-US"/>
        </w:rPr>
        <w:t xml:space="preserve"> </w:t>
      </w:r>
      <w:hyperlink r:id="rId9" w:history="1">
        <w:r w:rsidR="00AB308E" w:rsidRPr="00AB308E">
          <w:rPr>
            <w:rStyle w:val="Collegamentoipertestuale"/>
            <w:rFonts w:ascii="Times New Roman" w:hAnsi="Times New Roman"/>
            <w:i/>
            <w:sz w:val="16"/>
            <w:szCs w:val="16"/>
            <w:lang w:val="en-US"/>
          </w:rPr>
          <w:t>Acquista da VP</w:t>
        </w:r>
      </w:hyperlink>
      <w:bookmarkStart w:id="0" w:name="_GoBack"/>
      <w:bookmarkEnd w:id="0"/>
    </w:p>
    <w:p w14:paraId="76FD9972" w14:textId="77777777" w:rsidR="00A32E32" w:rsidRPr="00910DCB" w:rsidRDefault="00A32E32" w:rsidP="00A32E32">
      <w:pPr>
        <w:pStyle w:val="Testo1"/>
        <w:rPr>
          <w:spacing w:val="-5"/>
          <w:lang w:val="en-US"/>
        </w:rPr>
      </w:pPr>
      <w:r w:rsidRPr="00910DCB">
        <w:rPr>
          <w:smallCaps/>
          <w:spacing w:val="-5"/>
          <w:lang w:val="en-US"/>
        </w:rPr>
        <w:t>P. De Grauwe,</w:t>
      </w:r>
      <w:r w:rsidRPr="00910DCB">
        <w:rPr>
          <w:spacing w:val="-5"/>
          <w:lang w:val="en-US"/>
        </w:rPr>
        <w:t xml:space="preserve"> Economics of Monetary Union, Oxford University Press,  twelfth  edition 2018. </w:t>
      </w:r>
    </w:p>
    <w:p w14:paraId="79F49422" w14:textId="77777777" w:rsidR="00A32E32" w:rsidRPr="00910DCB" w:rsidRDefault="00A32E32" w:rsidP="00A32E32">
      <w:pPr>
        <w:pStyle w:val="Testo1"/>
        <w:spacing w:before="0"/>
        <w:rPr>
          <w:spacing w:val="-5"/>
          <w:lang w:val="en-US"/>
        </w:rPr>
      </w:pPr>
      <w:r w:rsidRPr="00910DCB">
        <w:rPr>
          <w:spacing w:val="-5"/>
          <w:lang w:val="en-US"/>
        </w:rPr>
        <w:t>Chapter 1 (1.2, 1.3)</w:t>
      </w:r>
    </w:p>
    <w:p w14:paraId="36E3E7F2" w14:textId="77777777" w:rsidR="00A32E32" w:rsidRPr="00910DCB" w:rsidRDefault="00A32E32" w:rsidP="00A32E32">
      <w:pPr>
        <w:pStyle w:val="Testo1"/>
        <w:spacing w:before="0"/>
        <w:rPr>
          <w:lang w:val="en-GB"/>
        </w:rPr>
      </w:pPr>
      <w:r w:rsidRPr="00910DCB">
        <w:rPr>
          <w:spacing w:val="-5"/>
          <w:lang w:val="en-US"/>
        </w:rPr>
        <w:t>Chapter 3 (3.1, 3.2, 3.5, 3.6, 3.7, 3.8)</w:t>
      </w:r>
      <w:r w:rsidRPr="00910DCB">
        <w:rPr>
          <w:lang w:val="en-GB"/>
        </w:rPr>
        <w:t xml:space="preserve"> </w:t>
      </w:r>
    </w:p>
    <w:p w14:paraId="6045F1AC" w14:textId="77777777" w:rsidR="00A32E32" w:rsidRDefault="00A32E32" w:rsidP="00A32E32">
      <w:pPr>
        <w:pStyle w:val="Testo1"/>
        <w:spacing w:before="0"/>
        <w:rPr>
          <w:spacing w:val="-5"/>
          <w:lang w:val="en-US"/>
        </w:rPr>
      </w:pPr>
      <w:r w:rsidRPr="00910DCB">
        <w:rPr>
          <w:spacing w:val="-5"/>
          <w:lang w:val="en-US"/>
        </w:rPr>
        <w:t xml:space="preserve">Chapter 4 (excluding 4.7, 4.8, 4.9, 4.10) </w:t>
      </w:r>
    </w:p>
    <w:p w14:paraId="76554D9D" w14:textId="77777777" w:rsidR="00A32E32" w:rsidRPr="00910DCB" w:rsidRDefault="00A32E32" w:rsidP="00A32E32">
      <w:pPr>
        <w:pStyle w:val="Testo1"/>
        <w:spacing w:before="0"/>
        <w:rPr>
          <w:spacing w:val="-5"/>
          <w:lang w:val="en-US"/>
        </w:rPr>
      </w:pPr>
      <w:r w:rsidRPr="00910DCB">
        <w:rPr>
          <w:spacing w:val="-5"/>
          <w:lang w:val="en-US"/>
        </w:rPr>
        <w:t xml:space="preserve">Chapter 7 </w:t>
      </w:r>
    </w:p>
    <w:p w14:paraId="418F8316" w14:textId="77777777" w:rsidR="00A32E32" w:rsidRPr="00910DCB" w:rsidRDefault="00A32E32" w:rsidP="00A32E32">
      <w:pPr>
        <w:pStyle w:val="Testo1"/>
        <w:spacing w:before="0"/>
        <w:rPr>
          <w:spacing w:val="-5"/>
          <w:lang w:val="en-US"/>
        </w:rPr>
      </w:pPr>
      <w:r w:rsidRPr="00910DCB">
        <w:rPr>
          <w:spacing w:val="-5"/>
          <w:lang w:val="en-US"/>
        </w:rPr>
        <w:t xml:space="preserve">Chapter 8 </w:t>
      </w:r>
      <w:r>
        <w:rPr>
          <w:spacing w:val="-5"/>
          <w:lang w:val="en-US"/>
        </w:rPr>
        <w:tab/>
      </w:r>
    </w:p>
    <w:p w14:paraId="39A4B0FE" w14:textId="77777777" w:rsidR="00A32E32" w:rsidRPr="00910DCB" w:rsidRDefault="00A32E32" w:rsidP="00A32E32">
      <w:pPr>
        <w:pStyle w:val="Testo1"/>
        <w:spacing w:before="0"/>
        <w:rPr>
          <w:spacing w:val="-5"/>
          <w:lang w:val="en-US"/>
        </w:rPr>
      </w:pPr>
      <w:r w:rsidRPr="00910DCB">
        <w:rPr>
          <w:spacing w:val="-5"/>
          <w:lang w:val="en-US"/>
        </w:rPr>
        <w:t xml:space="preserve">Chapter 9 </w:t>
      </w:r>
    </w:p>
    <w:p w14:paraId="7E26DD7B" w14:textId="77777777" w:rsidR="00A32E32" w:rsidRPr="00910DCB" w:rsidRDefault="00A32E32" w:rsidP="00A32E32">
      <w:pPr>
        <w:pStyle w:val="Testo1"/>
        <w:spacing w:before="0"/>
        <w:rPr>
          <w:spacing w:val="-5"/>
          <w:lang w:val="en-US"/>
        </w:rPr>
      </w:pPr>
      <w:r w:rsidRPr="00910DCB">
        <w:rPr>
          <w:spacing w:val="-5"/>
          <w:lang w:val="en-US"/>
        </w:rPr>
        <w:t>Chapter 10 (10.2, 10.3, 10.4, 10.5, 10.6)</w:t>
      </w:r>
    </w:p>
    <w:p w14:paraId="340BB663" w14:textId="77777777" w:rsidR="00A32E32" w:rsidRPr="00514034" w:rsidRDefault="00A32E32" w:rsidP="00A32E32">
      <w:pPr>
        <w:spacing w:before="240" w:after="120" w:line="220" w:lineRule="exact"/>
        <w:rPr>
          <w:b/>
          <w:i/>
          <w:sz w:val="18"/>
          <w:lang w:val="en-US"/>
        </w:rPr>
      </w:pPr>
      <w:r w:rsidRPr="00514034">
        <w:rPr>
          <w:b/>
          <w:i/>
          <w:sz w:val="18"/>
          <w:lang w:val="en-US"/>
        </w:rPr>
        <w:t>TEACHING METHOD</w:t>
      </w:r>
    </w:p>
    <w:p w14:paraId="4060D3CC" w14:textId="77777777" w:rsidR="00A32E32" w:rsidRPr="001B7185" w:rsidRDefault="00A32E32" w:rsidP="00A32E32">
      <w:pPr>
        <w:pStyle w:val="Testo2"/>
        <w:rPr>
          <w:lang w:val="en-GB"/>
        </w:rPr>
      </w:pPr>
      <w:r w:rsidRPr="001B7185">
        <w:rPr>
          <w:lang w:val="en-GB"/>
        </w:rPr>
        <w:t>Lectures (slides) on topics and readings made available beforehand.</w:t>
      </w:r>
    </w:p>
    <w:p w14:paraId="5DAA1F29" w14:textId="77777777" w:rsidR="00A32E32" w:rsidRPr="00906645" w:rsidRDefault="00A32E32" w:rsidP="00A32E32">
      <w:pPr>
        <w:spacing w:before="240" w:after="120" w:line="220" w:lineRule="exact"/>
        <w:rPr>
          <w:b/>
          <w:i/>
          <w:sz w:val="18"/>
          <w:lang w:val="en-US"/>
        </w:rPr>
      </w:pPr>
      <w:r w:rsidRPr="00906645">
        <w:rPr>
          <w:b/>
          <w:i/>
          <w:sz w:val="18"/>
          <w:lang w:val="en-US"/>
        </w:rPr>
        <w:t>ASSESSMENT METHOD AND CRITERIA</w:t>
      </w:r>
    </w:p>
    <w:p w14:paraId="627A50DE" w14:textId="77777777" w:rsidR="00A32E32" w:rsidRPr="001B7185" w:rsidRDefault="00A32E32" w:rsidP="00A32E32">
      <w:pPr>
        <w:pStyle w:val="Testo2"/>
        <w:rPr>
          <w:lang w:val="en-GB"/>
        </w:rPr>
      </w:pPr>
      <w:r w:rsidRPr="001B7185">
        <w:rPr>
          <w:lang w:val="en-GB"/>
        </w:rPr>
        <w:t xml:space="preserve">Students are required to take a written exam during the session dates assigned to this course. The written exam weights 100% of global evaluation. With respect of the evaluation the criteria taken into account will be: (i) the proper use of technical language; (ii) the capacity of highlighting linkages between different topics; (iii) the punctuality in expounding formal models; (iv) use of specific data and information. </w:t>
      </w:r>
    </w:p>
    <w:p w14:paraId="097D40D9" w14:textId="77777777" w:rsidR="00A32E32" w:rsidRPr="00514034" w:rsidRDefault="00A32E32" w:rsidP="00A32E32">
      <w:pPr>
        <w:spacing w:before="240" w:after="120"/>
        <w:rPr>
          <w:b/>
          <w:i/>
          <w:sz w:val="18"/>
          <w:lang w:val="en-US"/>
        </w:rPr>
      </w:pPr>
      <w:r w:rsidRPr="00514034">
        <w:rPr>
          <w:b/>
          <w:i/>
          <w:sz w:val="18"/>
          <w:lang w:val="en-US"/>
        </w:rPr>
        <w:t>NOTES AND PREREQUISITES</w:t>
      </w:r>
    </w:p>
    <w:p w14:paraId="252D8366" w14:textId="77777777" w:rsidR="00A32E32" w:rsidRPr="00910DCB" w:rsidRDefault="00A32E32" w:rsidP="00A32E32">
      <w:pPr>
        <w:pStyle w:val="Testo2"/>
        <w:rPr>
          <w:lang w:val="en-GB"/>
        </w:rPr>
      </w:pPr>
      <w:r>
        <w:rPr>
          <w:lang w:val="en-US"/>
        </w:rPr>
        <w:t>Office hours of Prof. Caruso are at the Department of Economic Policy (via necchi 5, 1</w:t>
      </w:r>
      <w:r w:rsidRPr="002F4AD9">
        <w:rPr>
          <w:vertAlign w:val="superscript"/>
          <w:lang w:val="en-US"/>
        </w:rPr>
        <w:t>st</w:t>
      </w:r>
      <w:r>
        <w:rPr>
          <w:lang w:val="en-US"/>
        </w:rPr>
        <w:t xml:space="preserve"> floor, room 107). </w:t>
      </w:r>
    </w:p>
    <w:sectPr w:rsidR="00A32E32" w:rsidRPr="00910D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5E2AF" w14:textId="77777777" w:rsidR="00AB308E" w:rsidRDefault="00AB308E" w:rsidP="00AB308E">
      <w:pPr>
        <w:spacing w:line="240" w:lineRule="auto"/>
      </w:pPr>
      <w:r>
        <w:separator/>
      </w:r>
    </w:p>
  </w:endnote>
  <w:endnote w:type="continuationSeparator" w:id="0">
    <w:p w14:paraId="7AB0DB21" w14:textId="77777777" w:rsidR="00AB308E" w:rsidRDefault="00AB308E" w:rsidP="00AB3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DB834" w14:textId="77777777" w:rsidR="00AB308E" w:rsidRDefault="00AB308E" w:rsidP="00AB308E">
      <w:pPr>
        <w:spacing w:line="240" w:lineRule="auto"/>
      </w:pPr>
      <w:r>
        <w:separator/>
      </w:r>
    </w:p>
  </w:footnote>
  <w:footnote w:type="continuationSeparator" w:id="0">
    <w:p w14:paraId="3FB10AA0" w14:textId="77777777" w:rsidR="00AB308E" w:rsidRDefault="00AB308E" w:rsidP="00AB308E">
      <w:pPr>
        <w:spacing w:line="240" w:lineRule="auto"/>
      </w:pPr>
      <w:r>
        <w:continuationSeparator/>
      </w:r>
    </w:p>
  </w:footnote>
  <w:footnote w:id="1">
    <w:p w14:paraId="6AE7F410" w14:textId="08F4F7B7" w:rsidR="00AB308E" w:rsidRDefault="00AB308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2621"/>
    <w:multiLevelType w:val="hybridMultilevel"/>
    <w:tmpl w:val="9F68D7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305871"/>
    <w:multiLevelType w:val="hybridMultilevel"/>
    <w:tmpl w:val="8D8243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8FD4FA0"/>
    <w:multiLevelType w:val="hybridMultilevel"/>
    <w:tmpl w:val="CDAC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40"/>
    <w:rsid w:val="00187B99"/>
    <w:rsid w:val="001B7185"/>
    <w:rsid w:val="002014DD"/>
    <w:rsid w:val="002930C6"/>
    <w:rsid w:val="002D5E17"/>
    <w:rsid w:val="004D1217"/>
    <w:rsid w:val="004D6008"/>
    <w:rsid w:val="004E1B40"/>
    <w:rsid w:val="00640794"/>
    <w:rsid w:val="006F1772"/>
    <w:rsid w:val="008942E7"/>
    <w:rsid w:val="008A1204"/>
    <w:rsid w:val="00900CCA"/>
    <w:rsid w:val="00924B77"/>
    <w:rsid w:val="00940DA2"/>
    <w:rsid w:val="009E055C"/>
    <w:rsid w:val="00A32E32"/>
    <w:rsid w:val="00A74F6F"/>
    <w:rsid w:val="00AB308E"/>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0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32E3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2E32"/>
    <w:pPr>
      <w:tabs>
        <w:tab w:val="clear" w:pos="284"/>
      </w:tabs>
      <w:spacing w:line="240" w:lineRule="auto"/>
      <w:ind w:left="720"/>
      <w:contextualSpacing/>
      <w:jc w:val="left"/>
    </w:pPr>
    <w:rPr>
      <w:sz w:val="24"/>
    </w:rPr>
  </w:style>
  <w:style w:type="character" w:styleId="Rimandocommento">
    <w:name w:val="annotation reference"/>
    <w:basedOn w:val="Carpredefinitoparagrafo"/>
    <w:unhideWhenUsed/>
    <w:rsid w:val="00A32E32"/>
    <w:rPr>
      <w:sz w:val="16"/>
      <w:szCs w:val="16"/>
    </w:rPr>
  </w:style>
  <w:style w:type="paragraph" w:styleId="Testocommento">
    <w:name w:val="annotation text"/>
    <w:basedOn w:val="Normale"/>
    <w:link w:val="TestocommentoCarattere"/>
    <w:unhideWhenUsed/>
    <w:rsid w:val="00A32E32"/>
    <w:pPr>
      <w:tabs>
        <w:tab w:val="clear" w:pos="284"/>
      </w:tabs>
      <w:spacing w:line="240" w:lineRule="auto"/>
      <w:jc w:val="left"/>
    </w:pPr>
    <w:rPr>
      <w:szCs w:val="20"/>
    </w:rPr>
  </w:style>
  <w:style w:type="character" w:customStyle="1" w:styleId="TestocommentoCarattere">
    <w:name w:val="Testo commento Carattere"/>
    <w:basedOn w:val="Carpredefinitoparagrafo"/>
    <w:link w:val="Testocommento"/>
    <w:rsid w:val="00A32E32"/>
  </w:style>
  <w:style w:type="paragraph" w:styleId="Testofumetto">
    <w:name w:val="Balloon Text"/>
    <w:basedOn w:val="Normale"/>
    <w:link w:val="TestofumettoCarattere"/>
    <w:rsid w:val="00A32E3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32E32"/>
    <w:rPr>
      <w:rFonts w:ascii="Segoe UI" w:hAnsi="Segoe UI" w:cs="Segoe UI"/>
      <w:sz w:val="18"/>
      <w:szCs w:val="18"/>
    </w:rPr>
  </w:style>
  <w:style w:type="paragraph" w:styleId="Testonotaapidipagina">
    <w:name w:val="footnote text"/>
    <w:basedOn w:val="Normale"/>
    <w:link w:val="TestonotaapidipaginaCarattere"/>
    <w:rsid w:val="00AB308E"/>
    <w:pPr>
      <w:spacing w:line="240" w:lineRule="auto"/>
    </w:pPr>
    <w:rPr>
      <w:szCs w:val="20"/>
    </w:rPr>
  </w:style>
  <w:style w:type="character" w:customStyle="1" w:styleId="TestonotaapidipaginaCarattere">
    <w:name w:val="Testo nota a piè di pagina Carattere"/>
    <w:basedOn w:val="Carpredefinitoparagrafo"/>
    <w:link w:val="Testonotaapidipagina"/>
    <w:rsid w:val="00AB308E"/>
  </w:style>
  <w:style w:type="character" w:styleId="Rimandonotaapidipagina">
    <w:name w:val="footnote reference"/>
    <w:basedOn w:val="Carpredefinitoparagrafo"/>
    <w:rsid w:val="00AB308E"/>
    <w:rPr>
      <w:vertAlign w:val="superscript"/>
    </w:rPr>
  </w:style>
  <w:style w:type="character" w:styleId="Collegamentoipertestuale">
    <w:name w:val="Hyperlink"/>
    <w:basedOn w:val="Carpredefinitoparagrafo"/>
    <w:rsid w:val="00AB30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32E3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2E32"/>
    <w:pPr>
      <w:tabs>
        <w:tab w:val="clear" w:pos="284"/>
      </w:tabs>
      <w:spacing w:line="240" w:lineRule="auto"/>
      <w:ind w:left="720"/>
      <w:contextualSpacing/>
      <w:jc w:val="left"/>
    </w:pPr>
    <w:rPr>
      <w:sz w:val="24"/>
    </w:rPr>
  </w:style>
  <w:style w:type="character" w:styleId="Rimandocommento">
    <w:name w:val="annotation reference"/>
    <w:basedOn w:val="Carpredefinitoparagrafo"/>
    <w:unhideWhenUsed/>
    <w:rsid w:val="00A32E32"/>
    <w:rPr>
      <w:sz w:val="16"/>
      <w:szCs w:val="16"/>
    </w:rPr>
  </w:style>
  <w:style w:type="paragraph" w:styleId="Testocommento">
    <w:name w:val="annotation text"/>
    <w:basedOn w:val="Normale"/>
    <w:link w:val="TestocommentoCarattere"/>
    <w:unhideWhenUsed/>
    <w:rsid w:val="00A32E32"/>
    <w:pPr>
      <w:tabs>
        <w:tab w:val="clear" w:pos="284"/>
      </w:tabs>
      <w:spacing w:line="240" w:lineRule="auto"/>
      <w:jc w:val="left"/>
    </w:pPr>
    <w:rPr>
      <w:szCs w:val="20"/>
    </w:rPr>
  </w:style>
  <w:style w:type="character" w:customStyle="1" w:styleId="TestocommentoCarattere">
    <w:name w:val="Testo commento Carattere"/>
    <w:basedOn w:val="Carpredefinitoparagrafo"/>
    <w:link w:val="Testocommento"/>
    <w:rsid w:val="00A32E32"/>
  </w:style>
  <w:style w:type="paragraph" w:styleId="Testofumetto">
    <w:name w:val="Balloon Text"/>
    <w:basedOn w:val="Normale"/>
    <w:link w:val="TestofumettoCarattere"/>
    <w:rsid w:val="00A32E3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32E32"/>
    <w:rPr>
      <w:rFonts w:ascii="Segoe UI" w:hAnsi="Segoe UI" w:cs="Segoe UI"/>
      <w:sz w:val="18"/>
      <w:szCs w:val="18"/>
    </w:rPr>
  </w:style>
  <w:style w:type="paragraph" w:styleId="Testonotaapidipagina">
    <w:name w:val="footnote text"/>
    <w:basedOn w:val="Normale"/>
    <w:link w:val="TestonotaapidipaginaCarattere"/>
    <w:rsid w:val="00AB308E"/>
    <w:pPr>
      <w:spacing w:line="240" w:lineRule="auto"/>
    </w:pPr>
    <w:rPr>
      <w:szCs w:val="20"/>
    </w:rPr>
  </w:style>
  <w:style w:type="character" w:customStyle="1" w:styleId="TestonotaapidipaginaCarattere">
    <w:name w:val="Testo nota a piè di pagina Carattere"/>
    <w:basedOn w:val="Carpredefinitoparagrafo"/>
    <w:link w:val="Testonotaapidipagina"/>
    <w:rsid w:val="00AB308E"/>
  </w:style>
  <w:style w:type="character" w:styleId="Rimandonotaapidipagina">
    <w:name w:val="footnote reference"/>
    <w:basedOn w:val="Carpredefinitoparagrafo"/>
    <w:rsid w:val="00AB308E"/>
    <w:rPr>
      <w:vertAlign w:val="superscript"/>
    </w:rPr>
  </w:style>
  <w:style w:type="character" w:styleId="Collegamentoipertestuale">
    <w:name w:val="Hyperlink"/>
    <w:basedOn w:val="Carpredefinitoparagrafo"/>
    <w:rsid w:val="00AB3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richard-baldwin-charles-wyplosz/the-economics-of-european-integration-9781526849434-71154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CA512-E7D0-4120-8A29-F94C3BAC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2022-09-05T06:39:00Z</dcterms:created>
  <dcterms:modified xsi:type="dcterms:W3CDTF">2022-09-05T07:32:00Z</dcterms:modified>
</cp:coreProperties>
</file>