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5583" w14:textId="77777777" w:rsidR="00355376" w:rsidRPr="00917D5F" w:rsidRDefault="00355376" w:rsidP="000D27B4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917D5F">
        <w:rPr>
          <w:rFonts w:ascii="Times" w:hAnsi="Times"/>
          <w:b/>
          <w:noProof/>
          <w:szCs w:val="20"/>
        </w:rPr>
        <w:t>Storia della metafisica antica</w:t>
      </w:r>
    </w:p>
    <w:p w14:paraId="017D7383" w14:textId="23CA10A9" w:rsidR="00355376" w:rsidRPr="00C1163D" w:rsidRDefault="00355376" w:rsidP="000D27B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C1163D">
        <w:rPr>
          <w:rFonts w:ascii="Times" w:hAnsi="Times"/>
          <w:smallCaps/>
          <w:noProof/>
          <w:sz w:val="18"/>
          <w:szCs w:val="20"/>
        </w:rPr>
        <w:t>Prof. Nicoletta Scotti</w:t>
      </w:r>
    </w:p>
    <w:p w14:paraId="44C511CD" w14:textId="77777777" w:rsidR="00355376" w:rsidRDefault="00355376" w:rsidP="000D27B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A2FC8E" w14:textId="1294B016" w:rsidR="00004F0E" w:rsidRDefault="007F01D6" w:rsidP="000D27B4">
      <w:r>
        <w:t xml:space="preserve">Il corso </w:t>
      </w:r>
      <w:r w:rsidR="00004F0E">
        <w:t xml:space="preserve">si propone di esaminare le differenti accezioni della materia lungo l’intero arco di sviluppo del pensiero filosofico antico, mettendo in rilievo tanto le specificità dei singoli autori che i nessi teorici intercorrenti fra le loro diverse concezioni. </w:t>
      </w:r>
    </w:p>
    <w:p w14:paraId="5748BB91" w14:textId="00959B19" w:rsidR="00355376" w:rsidRPr="007F01D6" w:rsidRDefault="00004F0E" w:rsidP="000D27B4">
      <w:r>
        <w:t xml:space="preserve">Al termine del corso lo studente avrà acquisito un quadro essenziale del contesto storico relativo alle posizioni dei singoli autori o delle singole scuole su questo tema; inoltre avrà imparato ad accostarsi autonomamente ai testi fondamentali che ne trattano e a leggerli facendo ricorso a una silloge di letteratura critica. Per quanto concerne la capacità di applicare le conoscenze acquisite, sarà in grado comprendere il tema della materia inserendolo nel più ampio </w:t>
      </w:r>
      <w:r w:rsidR="00452CD8">
        <w:t>ambito</w:t>
      </w:r>
      <w:r>
        <w:t xml:space="preserve"> </w:t>
      </w:r>
      <w:r w:rsidR="00452CD8">
        <w:t xml:space="preserve">metafisico </w:t>
      </w:r>
      <w:r>
        <w:t>della causalità e a interrogarsi circa la sua rilevanza per il contesto attuale.</w:t>
      </w:r>
    </w:p>
    <w:p w14:paraId="1C5083AB" w14:textId="77777777" w:rsidR="00355376" w:rsidRPr="00A16B47" w:rsidRDefault="00355376" w:rsidP="000D27B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543B0D" w14:textId="6577F1EC" w:rsidR="00004F0E" w:rsidRDefault="00004F0E" w:rsidP="000D27B4">
      <w:pPr>
        <w:tabs>
          <w:tab w:val="clear" w:pos="284"/>
        </w:tabs>
      </w:pPr>
      <w:r>
        <w:t xml:space="preserve">Verranno esaminati testi di: Anassagora, Democrito, Platone, Aristotele, Stoici, Epicuro, Plotino, </w:t>
      </w:r>
      <w:proofErr w:type="spellStart"/>
      <w:r>
        <w:t>Proclo</w:t>
      </w:r>
      <w:proofErr w:type="spellEnd"/>
      <w:r>
        <w:t>, raggruppandoli intorno ai seguenti nuclei teorici:</w:t>
      </w:r>
    </w:p>
    <w:p w14:paraId="446A2336" w14:textId="5F50F023" w:rsidR="00004F0E" w:rsidRDefault="00004F0E" w:rsidP="000D27B4">
      <w:r>
        <w:tab/>
        <w:t>1.</w:t>
      </w:r>
      <w:r>
        <w:tab/>
        <w:t>Pluralità, spazialità e movimento.</w:t>
      </w:r>
    </w:p>
    <w:p w14:paraId="36D59F04" w14:textId="3F194CAD" w:rsidR="00004F0E" w:rsidRDefault="00004F0E" w:rsidP="000D27B4">
      <w:r>
        <w:tab/>
        <w:t>2.</w:t>
      </w:r>
      <w:r>
        <w:tab/>
        <w:t xml:space="preserve">Materia e individualizzazione della forma. </w:t>
      </w:r>
    </w:p>
    <w:p w14:paraId="3C423279" w14:textId="489F5A25" w:rsidR="00004F0E" w:rsidRDefault="00004F0E" w:rsidP="000D27B4">
      <w:r>
        <w:tab/>
        <w:t xml:space="preserve">3. </w:t>
      </w:r>
      <w:r>
        <w:tab/>
        <w:t>Materia e potenzialità.</w:t>
      </w:r>
    </w:p>
    <w:p w14:paraId="52971383" w14:textId="24521A5B" w:rsidR="00004F0E" w:rsidRDefault="00004F0E" w:rsidP="000D27B4">
      <w:r>
        <w:tab/>
        <w:t>4.</w:t>
      </w:r>
      <w:r>
        <w:tab/>
        <w:t>Materia e male.</w:t>
      </w:r>
    </w:p>
    <w:p w14:paraId="2CFF2C06" w14:textId="19B56D15" w:rsidR="00355376" w:rsidRPr="00E937C4" w:rsidRDefault="00355376" w:rsidP="000D27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FFDC97E" w14:textId="4A1C11EE" w:rsidR="00004F0E" w:rsidRPr="00452CD8" w:rsidRDefault="00004F0E" w:rsidP="000D27B4">
      <w:pPr>
        <w:pStyle w:val="Testo1"/>
        <w:numPr>
          <w:ilvl w:val="0"/>
          <w:numId w:val="6"/>
        </w:numPr>
        <w:ind w:left="284" w:hanging="284"/>
        <w:rPr>
          <w:rFonts w:ascii="Times New Roman" w:hAnsi="Times New Roman"/>
          <w:sz w:val="20"/>
        </w:rPr>
      </w:pPr>
      <w:r w:rsidRPr="00452CD8">
        <w:rPr>
          <w:rFonts w:ascii="Times New Roman" w:hAnsi="Times New Roman"/>
          <w:sz w:val="20"/>
        </w:rPr>
        <w:t>Fonti</w:t>
      </w:r>
    </w:p>
    <w:p w14:paraId="4627F417" w14:textId="77777777" w:rsidR="00004F0E" w:rsidRPr="00452CD8" w:rsidRDefault="00004F0E" w:rsidP="000B114D">
      <w:pPr>
        <w:pStyle w:val="Testo1"/>
        <w:spacing w:line="240" w:lineRule="atLeast"/>
        <w:ind w:left="0" w:firstLine="284"/>
        <w:rPr>
          <w:rFonts w:ascii="Times New Roman" w:hAnsi="Times New Roman"/>
          <w:spacing w:val="-5"/>
          <w:sz w:val="20"/>
        </w:rPr>
      </w:pPr>
      <w:r w:rsidRPr="00452CD8">
        <w:rPr>
          <w:rFonts w:ascii="Times New Roman" w:hAnsi="Times New Roman"/>
          <w:sz w:val="20"/>
        </w:rPr>
        <w:t>Antologia di testi in formato fotostatico.</w:t>
      </w:r>
    </w:p>
    <w:p w14:paraId="05CBE004" w14:textId="040AD14F" w:rsidR="00004F0E" w:rsidRPr="00452CD8" w:rsidRDefault="00004F0E" w:rsidP="000D27B4">
      <w:pPr>
        <w:pStyle w:val="Testo1"/>
        <w:numPr>
          <w:ilvl w:val="0"/>
          <w:numId w:val="6"/>
        </w:numPr>
        <w:spacing w:before="120"/>
        <w:ind w:left="284" w:hanging="284"/>
        <w:rPr>
          <w:rFonts w:ascii="Times New Roman" w:hAnsi="Times New Roman"/>
          <w:sz w:val="20"/>
        </w:rPr>
      </w:pPr>
      <w:r w:rsidRPr="00452CD8">
        <w:rPr>
          <w:rFonts w:ascii="Times New Roman" w:hAnsi="Times New Roman"/>
          <w:sz w:val="20"/>
        </w:rPr>
        <w:t xml:space="preserve">Letteratura critica </w:t>
      </w:r>
    </w:p>
    <w:p w14:paraId="795D9BC4" w14:textId="77777777" w:rsidR="00004F0E" w:rsidRPr="00452CD8" w:rsidRDefault="00004F0E" w:rsidP="000B114D">
      <w:pPr>
        <w:pStyle w:val="Testo1"/>
        <w:ind w:left="0" w:firstLine="284"/>
        <w:rPr>
          <w:rFonts w:ascii="Times New Roman" w:hAnsi="Times New Roman"/>
          <w:sz w:val="20"/>
        </w:rPr>
      </w:pPr>
      <w:r w:rsidRPr="00452CD8">
        <w:rPr>
          <w:rFonts w:ascii="Times New Roman" w:hAnsi="Times New Roman"/>
          <w:sz w:val="20"/>
        </w:rPr>
        <w:t xml:space="preserve">Silloge di articoli prevalentemente in lingua inglese. </w:t>
      </w:r>
    </w:p>
    <w:p w14:paraId="172DB5C0" w14:textId="5E9C5DA4" w:rsidR="00004F0E" w:rsidRPr="00452CD8" w:rsidRDefault="00004F0E" w:rsidP="000D27B4">
      <w:pPr>
        <w:pStyle w:val="Testo1"/>
        <w:numPr>
          <w:ilvl w:val="0"/>
          <w:numId w:val="6"/>
        </w:numPr>
        <w:spacing w:before="120"/>
        <w:ind w:left="284" w:hanging="284"/>
        <w:rPr>
          <w:rFonts w:ascii="Times New Roman" w:hAnsi="Times New Roman"/>
          <w:sz w:val="20"/>
        </w:rPr>
      </w:pPr>
      <w:r w:rsidRPr="00452CD8">
        <w:rPr>
          <w:rFonts w:ascii="Times New Roman" w:hAnsi="Times New Roman"/>
          <w:sz w:val="20"/>
        </w:rPr>
        <w:t>Appunti del corso</w:t>
      </w:r>
    </w:p>
    <w:p w14:paraId="47CBC8C1" w14:textId="77777777" w:rsidR="00355376" w:rsidRPr="00A16B47" w:rsidRDefault="00355376" w:rsidP="000D27B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A2D682F" w14:textId="77777777" w:rsidR="00004F0E" w:rsidRPr="00452CD8" w:rsidRDefault="00004F0E" w:rsidP="000D27B4">
      <w:pPr>
        <w:pStyle w:val="Testo2"/>
        <w:ind w:firstLine="0"/>
        <w:rPr>
          <w:rFonts w:ascii="Times New Roman" w:hAnsi="Times New Roman"/>
          <w:sz w:val="20"/>
        </w:rPr>
      </w:pPr>
      <w:r w:rsidRPr="00452CD8">
        <w:rPr>
          <w:rFonts w:ascii="Times New Roman" w:hAnsi="Times New Roman"/>
          <w:sz w:val="20"/>
        </w:rPr>
        <w:t>Lezioni frontali alternate a discussioni seminariali. Si farà uso della piattaforma blackboard per i protocolli delle lezioni.</w:t>
      </w:r>
    </w:p>
    <w:p w14:paraId="366959A2" w14:textId="77777777" w:rsidR="00355376" w:rsidRPr="00A16B47" w:rsidRDefault="00355376" w:rsidP="000D27B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2AC9E77" w14:textId="77777777" w:rsidR="00004F0E" w:rsidRPr="00B66E1A" w:rsidRDefault="00004F0E" w:rsidP="000D27B4">
      <w:pPr>
        <w:pStyle w:val="Testo2"/>
        <w:ind w:firstLine="0"/>
        <w:rPr>
          <w:rFonts w:ascii="Times New Roman" w:hAnsi="Times New Roman"/>
          <w:sz w:val="20"/>
        </w:rPr>
      </w:pPr>
      <w:r w:rsidRPr="00B66E1A">
        <w:rPr>
          <w:rFonts w:ascii="Times New Roman" w:hAnsi="Times New Roman"/>
          <w:sz w:val="20"/>
        </w:rPr>
        <w:lastRenderedPageBreak/>
        <w:t>L'interrogazione orale sarà così suddivisa: 1. Spiegazione analitica di uno o più testi delle fonti (a seconda della difficoltà e della lunghezza); 2. 2-3 domande sugli snodi argomentativi di un saggio di letteratura critica a scelta. 3. 2-3 domande su uno dei nuclei teorici indicati nel programma.  Verrà apprezzata la capacità di raggruppare i filosofi intorno ai rispettivi nuclei tematici, nonché di evidenziare con proprietà lessicale e chiarezza espositiva la diversità delle rispettive soluzioni nella concezione della materia.</w:t>
      </w:r>
    </w:p>
    <w:p w14:paraId="5E79F3DF" w14:textId="77777777" w:rsidR="00355376" w:rsidRPr="00A16B47" w:rsidRDefault="00355376" w:rsidP="000D27B4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078D9898" w14:textId="77777777" w:rsidR="00355376" w:rsidRPr="00B66E1A" w:rsidRDefault="00355376" w:rsidP="000D27B4">
      <w:pPr>
        <w:pStyle w:val="Testo2"/>
        <w:ind w:firstLine="0"/>
        <w:rPr>
          <w:rFonts w:ascii="Times New Roman" w:hAnsi="Times New Roman"/>
          <w:sz w:val="20"/>
        </w:rPr>
      </w:pPr>
      <w:r w:rsidRPr="00B66E1A">
        <w:rPr>
          <w:rFonts w:ascii="Times New Roman" w:hAnsi="Times New Roman"/>
          <w:sz w:val="20"/>
        </w:rPr>
        <w:t>È consigliata la p</w:t>
      </w:r>
      <w:r w:rsidR="00C16A64" w:rsidRPr="00B66E1A">
        <w:rPr>
          <w:rFonts w:ascii="Times New Roman" w:hAnsi="Times New Roman"/>
          <w:sz w:val="20"/>
        </w:rPr>
        <w:t>artecipazione</w:t>
      </w:r>
      <w:r w:rsidRPr="00B66E1A">
        <w:rPr>
          <w:rFonts w:ascii="Times New Roman" w:hAnsi="Times New Roman"/>
          <w:sz w:val="20"/>
        </w:rPr>
        <w:t xml:space="preserve"> costante al corso. Gli studenti non frequentanti potranno concordare </w:t>
      </w:r>
      <w:r w:rsidR="00557396" w:rsidRPr="00B66E1A">
        <w:rPr>
          <w:rFonts w:ascii="Times New Roman" w:hAnsi="Times New Roman"/>
          <w:sz w:val="20"/>
        </w:rPr>
        <w:t>a</w:t>
      </w:r>
      <w:r w:rsidRPr="00B66E1A">
        <w:rPr>
          <w:rFonts w:ascii="Times New Roman" w:hAnsi="Times New Roman"/>
          <w:sz w:val="20"/>
        </w:rPr>
        <w:t xml:space="preserve"> tempo </w:t>
      </w:r>
      <w:r w:rsidR="00557396" w:rsidRPr="00B66E1A">
        <w:rPr>
          <w:rFonts w:ascii="Times New Roman" w:hAnsi="Times New Roman"/>
          <w:sz w:val="20"/>
        </w:rPr>
        <w:t xml:space="preserve">debito </w:t>
      </w:r>
      <w:r w:rsidRPr="00B66E1A">
        <w:rPr>
          <w:rFonts w:ascii="Times New Roman" w:hAnsi="Times New Roman"/>
          <w:sz w:val="20"/>
        </w:rPr>
        <w:t>con la docente un programma alternativo</w:t>
      </w:r>
      <w:r w:rsidR="00557396" w:rsidRPr="00B66E1A">
        <w:rPr>
          <w:rFonts w:ascii="Times New Roman" w:hAnsi="Times New Roman"/>
          <w:sz w:val="20"/>
        </w:rPr>
        <w:t xml:space="preserve"> segnalandosi possibilmente prima dell’inizio delle lezioni</w:t>
      </w:r>
      <w:r w:rsidRPr="00B66E1A">
        <w:rPr>
          <w:rFonts w:ascii="Times New Roman" w:hAnsi="Times New Roman"/>
          <w:sz w:val="20"/>
        </w:rPr>
        <w:t xml:space="preserve">. </w:t>
      </w:r>
    </w:p>
    <w:p w14:paraId="5E23BCE2" w14:textId="77777777" w:rsidR="00355376" w:rsidRPr="00B66E1A" w:rsidRDefault="00355376" w:rsidP="000D27B4">
      <w:pPr>
        <w:pStyle w:val="Testo2"/>
        <w:ind w:firstLine="0"/>
        <w:rPr>
          <w:rFonts w:ascii="Times New Roman" w:hAnsi="Times New Roman"/>
          <w:sz w:val="20"/>
        </w:rPr>
      </w:pPr>
      <w:r w:rsidRPr="00B66E1A">
        <w:rPr>
          <w:rFonts w:ascii="Times New Roman" w:hAnsi="Times New Roman"/>
          <w:sz w:val="20"/>
        </w:rPr>
        <w:t xml:space="preserve">Il corso </w:t>
      </w:r>
      <w:r w:rsidR="00557396" w:rsidRPr="00B66E1A">
        <w:rPr>
          <w:rFonts w:ascii="Times New Roman" w:hAnsi="Times New Roman"/>
          <w:sz w:val="20"/>
        </w:rPr>
        <w:t>di quest’anno non presenta prerequisiti</w:t>
      </w:r>
      <w:r w:rsidRPr="00B66E1A">
        <w:rPr>
          <w:rFonts w:ascii="Times New Roman" w:hAnsi="Times New Roman"/>
          <w:sz w:val="20"/>
        </w:rPr>
        <w:t>.</w:t>
      </w:r>
    </w:p>
    <w:p w14:paraId="1C1216C0" w14:textId="77777777" w:rsidR="00355376" w:rsidRPr="00B66E1A" w:rsidRDefault="00355376" w:rsidP="000D27B4">
      <w:pPr>
        <w:pStyle w:val="Testo2"/>
        <w:spacing w:before="120"/>
        <w:ind w:firstLine="0"/>
        <w:rPr>
          <w:rFonts w:ascii="Times New Roman" w:hAnsi="Times New Roman"/>
          <w:i/>
          <w:sz w:val="20"/>
        </w:rPr>
      </w:pPr>
      <w:r w:rsidRPr="00B66E1A">
        <w:rPr>
          <w:rFonts w:ascii="Times New Roman" w:eastAsia="MS Mincho" w:hAnsi="Times New Roman"/>
          <w:i/>
          <w:sz w:val="20"/>
        </w:rPr>
        <w:t>Orario e luogo di ricevimento</w:t>
      </w:r>
      <w:r w:rsidRPr="00B66E1A">
        <w:rPr>
          <w:rFonts w:ascii="Times New Roman" w:hAnsi="Times New Roman"/>
          <w:i/>
          <w:sz w:val="20"/>
        </w:rPr>
        <w:t xml:space="preserve"> </w:t>
      </w:r>
    </w:p>
    <w:p w14:paraId="7CFF85C2" w14:textId="08A42343" w:rsidR="00355376" w:rsidRPr="00B66E1A" w:rsidRDefault="00C16A64" w:rsidP="000D27B4">
      <w:pPr>
        <w:pStyle w:val="Testo2"/>
        <w:ind w:firstLine="0"/>
        <w:rPr>
          <w:rFonts w:ascii="Times New Roman" w:hAnsi="Times New Roman"/>
          <w:sz w:val="20"/>
        </w:rPr>
      </w:pPr>
      <w:r w:rsidRPr="00B66E1A">
        <w:rPr>
          <w:rFonts w:ascii="Times New Roman" w:hAnsi="Times New Roman"/>
          <w:sz w:val="20"/>
        </w:rPr>
        <w:t>La Prof.ssa</w:t>
      </w:r>
      <w:r w:rsidR="00355376" w:rsidRPr="00B66E1A">
        <w:rPr>
          <w:rFonts w:ascii="Times New Roman" w:hAnsi="Times New Roman"/>
          <w:sz w:val="20"/>
        </w:rPr>
        <w:t xml:space="preserve"> Nicoletta Scotti riceve gli studenti il martedì dalle ore 14,30 presso il Dipartimento di Filosofia (Edificio Gregorianum, III piano, studio 3</w:t>
      </w:r>
      <w:r w:rsidR="00004F0E" w:rsidRPr="00B66E1A">
        <w:rPr>
          <w:rFonts w:ascii="Times New Roman" w:hAnsi="Times New Roman"/>
          <w:sz w:val="20"/>
        </w:rPr>
        <w:t>12</w:t>
      </w:r>
      <w:r w:rsidR="00355376" w:rsidRPr="00B66E1A">
        <w:rPr>
          <w:rFonts w:ascii="Times New Roman" w:hAnsi="Times New Roman"/>
          <w:sz w:val="20"/>
        </w:rPr>
        <w:t xml:space="preserve">) oppure su appuntamento: </w:t>
      </w:r>
      <w:hyperlink r:id="rId6" w:history="1">
        <w:r w:rsidR="00355376" w:rsidRPr="00B66E1A">
          <w:rPr>
            <w:rStyle w:val="Collegamentoipertestuale"/>
            <w:rFonts w:ascii="Times New Roman" w:hAnsi="Times New Roman"/>
            <w:i/>
            <w:sz w:val="20"/>
          </w:rPr>
          <w:t>nicoletta.scotti@unicatt.it</w:t>
        </w:r>
      </w:hyperlink>
    </w:p>
    <w:p w14:paraId="71BB64A6" w14:textId="77777777" w:rsidR="00355376" w:rsidRDefault="00355376" w:rsidP="000D27B4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rFonts w:ascii="inherit" w:hAnsi="inherit" w:cs="Times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3D113A34" w14:textId="77777777" w:rsidR="00355376" w:rsidRPr="005704ED" w:rsidRDefault="00355376" w:rsidP="000D27B4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color w:val="000000"/>
          <w:sz w:val="18"/>
          <w:szCs w:val="18"/>
        </w:rPr>
      </w:pPr>
      <w:r w:rsidRPr="005704ED">
        <w:rPr>
          <w:b/>
          <w:bCs/>
          <w:color w:val="000000"/>
          <w:sz w:val="18"/>
          <w:szCs w:val="18"/>
          <w:bdr w:val="none" w:sz="0" w:space="0" w:color="auto" w:frame="1"/>
        </w:rPr>
        <w:t>COVID-19</w:t>
      </w:r>
    </w:p>
    <w:p w14:paraId="58F2A725" w14:textId="77777777" w:rsidR="00355376" w:rsidRPr="005704ED" w:rsidRDefault="00355376" w:rsidP="000D27B4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color w:val="000000"/>
          <w:sz w:val="18"/>
          <w:szCs w:val="18"/>
        </w:rPr>
      </w:pPr>
      <w:r w:rsidRPr="005704ED">
        <w:rPr>
          <w:b/>
          <w:bCs/>
          <w:color w:val="000000"/>
          <w:sz w:val="18"/>
          <w:szCs w:val="18"/>
          <w:bdr w:val="none" w:sz="0" w:space="0" w:color="auto" w:frame="1"/>
        </w:rPr>
        <w:t>Qualora l'emergenza sanitaria dovesse protrarsi</w:t>
      </w:r>
      <w:r w:rsidRPr="005704ED"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5704ED">
        <w:rPr>
          <w:b/>
          <w:bCs/>
          <w:color w:val="000000"/>
          <w:sz w:val="18"/>
          <w:szCs w:val="18"/>
          <w:bdr w:val="none" w:sz="0" w:space="0" w:color="auto" w:frame="1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0031081" w14:textId="77777777" w:rsidR="002E5E16" w:rsidRDefault="002E5E16" w:rsidP="000D27B4"/>
    <w:sectPr w:rsidR="002E5E16" w:rsidSect="0002625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20"/>
    <w:multiLevelType w:val="hybridMultilevel"/>
    <w:tmpl w:val="F790E2B0"/>
    <w:lvl w:ilvl="0" w:tplc="732609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58244F8"/>
    <w:multiLevelType w:val="hybridMultilevel"/>
    <w:tmpl w:val="905CAC84"/>
    <w:lvl w:ilvl="0" w:tplc="4B6A9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FC6"/>
    <w:multiLevelType w:val="hybridMultilevel"/>
    <w:tmpl w:val="DBF4C0BE"/>
    <w:lvl w:ilvl="0" w:tplc="DCC8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89A"/>
    <w:multiLevelType w:val="hybridMultilevel"/>
    <w:tmpl w:val="DA20AEFC"/>
    <w:lvl w:ilvl="0" w:tplc="7842E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E5068"/>
    <w:multiLevelType w:val="hybridMultilevel"/>
    <w:tmpl w:val="569024DC"/>
    <w:lvl w:ilvl="0" w:tplc="3A22A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4A18"/>
    <w:multiLevelType w:val="hybridMultilevel"/>
    <w:tmpl w:val="5246B344"/>
    <w:lvl w:ilvl="0" w:tplc="36E42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557249">
    <w:abstractNumId w:val="0"/>
  </w:num>
  <w:num w:numId="2" w16cid:durableId="1932934772">
    <w:abstractNumId w:val="5"/>
  </w:num>
  <w:num w:numId="3" w16cid:durableId="480539289">
    <w:abstractNumId w:val="1"/>
  </w:num>
  <w:num w:numId="4" w16cid:durableId="887447721">
    <w:abstractNumId w:val="2"/>
  </w:num>
  <w:num w:numId="5" w16cid:durableId="2056656211">
    <w:abstractNumId w:val="3"/>
  </w:num>
  <w:num w:numId="6" w16cid:durableId="1486123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6"/>
    <w:rsid w:val="00004F0E"/>
    <w:rsid w:val="0001204C"/>
    <w:rsid w:val="0002625F"/>
    <w:rsid w:val="000B114D"/>
    <w:rsid w:val="000D27B4"/>
    <w:rsid w:val="002D6F58"/>
    <w:rsid w:val="002E5E16"/>
    <w:rsid w:val="00355376"/>
    <w:rsid w:val="00391040"/>
    <w:rsid w:val="00452CD8"/>
    <w:rsid w:val="00511DDA"/>
    <w:rsid w:val="00557396"/>
    <w:rsid w:val="005949C3"/>
    <w:rsid w:val="005F06E5"/>
    <w:rsid w:val="006D35B4"/>
    <w:rsid w:val="0072673F"/>
    <w:rsid w:val="007C37DC"/>
    <w:rsid w:val="007F01D6"/>
    <w:rsid w:val="00845EAC"/>
    <w:rsid w:val="009F1918"/>
    <w:rsid w:val="00A20375"/>
    <w:rsid w:val="00A27E2B"/>
    <w:rsid w:val="00A453D5"/>
    <w:rsid w:val="00B66E1A"/>
    <w:rsid w:val="00C1163D"/>
    <w:rsid w:val="00C16A64"/>
    <w:rsid w:val="00CB7B4F"/>
    <w:rsid w:val="00CC35FA"/>
    <w:rsid w:val="00DE0BB3"/>
    <w:rsid w:val="00FB6CA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BB26"/>
  <w15:docId w15:val="{D2BE1DC7-CC66-454F-A5E3-2A9FAEDB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376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35537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553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553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FF2004"/>
    <w:rPr>
      <w:b/>
      <w:bCs/>
    </w:rPr>
  </w:style>
  <w:style w:type="paragraph" w:customStyle="1" w:styleId="Testo1">
    <w:name w:val="Testo 1"/>
    <w:rsid w:val="00004F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oletta.scot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DA89-2A88-40A5-A280-964BBD5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Paoluzzi Cristiano</cp:lastModifiedBy>
  <cp:revision>2</cp:revision>
  <dcterms:created xsi:type="dcterms:W3CDTF">2022-05-23T13:48:00Z</dcterms:created>
  <dcterms:modified xsi:type="dcterms:W3CDTF">2022-05-23T13:48:00Z</dcterms:modified>
</cp:coreProperties>
</file>