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5E6B" w14:textId="77777777" w:rsidR="000077A1" w:rsidRPr="0019151E" w:rsidRDefault="000077A1" w:rsidP="0019151E">
      <w:pPr>
        <w:pStyle w:val="Titolo1"/>
      </w:pPr>
      <w:r w:rsidRPr="0019151E">
        <w:t xml:space="preserve">Valorizzazione urbana e grandi eventi </w:t>
      </w:r>
    </w:p>
    <w:p w14:paraId="006BF8C1" w14:textId="77777777" w:rsidR="000077A1" w:rsidRPr="0019151E" w:rsidRDefault="000077A1" w:rsidP="0019151E">
      <w:pPr>
        <w:pStyle w:val="Titolo2"/>
      </w:pPr>
      <w:r w:rsidRPr="0019151E">
        <w:t>Prof. Paolo Dalla Sega</w:t>
      </w:r>
    </w:p>
    <w:p w14:paraId="4932BB56" w14:textId="651B965E" w:rsidR="002D5E17" w:rsidRDefault="000077A1" w:rsidP="000077A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</w:t>
      </w:r>
      <w:r w:rsidR="000F754C">
        <w:rPr>
          <w:b/>
          <w:i/>
          <w:sz w:val="18"/>
        </w:rPr>
        <w:t>S</w:t>
      </w:r>
      <w:r>
        <w:rPr>
          <w:b/>
          <w:i/>
          <w:sz w:val="18"/>
        </w:rPr>
        <w:t>O E RISULTATI DI APPRENDIMENTO ATTESI</w:t>
      </w:r>
    </w:p>
    <w:p w14:paraId="3A49A710" w14:textId="77777777" w:rsidR="000077A1" w:rsidRDefault="000077A1" w:rsidP="00245960">
      <w:pPr>
        <w:spacing w:line="240" w:lineRule="exact"/>
      </w:pPr>
      <w:r>
        <w:t>Introdurre ai grandi eventi moderni come narrazioni e rappresentazioni centrali delle identità collettive nel nostro tempo, e quindi strumenti di comunicazione e valorizzazione urbana e dei territori.</w:t>
      </w:r>
    </w:p>
    <w:p w14:paraId="369AE76E" w14:textId="2C47B40F" w:rsidR="000077A1" w:rsidRDefault="000077A1" w:rsidP="00245960">
      <w:pPr>
        <w:spacing w:line="240" w:lineRule="exact"/>
      </w:pPr>
      <w:r>
        <w:t xml:space="preserve">Riflettere sul grande evento come sintesi forte di spazio/tempo: </w:t>
      </w:r>
      <w:r w:rsidRPr="00C16DEA">
        <w:rPr>
          <w:i/>
        </w:rPr>
        <w:t>genius</w:t>
      </w:r>
      <w:r>
        <w:t xml:space="preserve"> </w:t>
      </w:r>
      <w:r w:rsidRPr="00C16DEA">
        <w:rPr>
          <w:i/>
        </w:rPr>
        <w:t>loci</w:t>
      </w:r>
      <w:r>
        <w:t xml:space="preserve"> (di città, </w:t>
      </w:r>
      <w:r w:rsidR="00B67E50">
        <w:t>regioni, nazioni</w:t>
      </w:r>
      <w:r>
        <w:t xml:space="preserve">) e </w:t>
      </w:r>
      <w:r w:rsidRPr="00C16DEA">
        <w:rPr>
          <w:i/>
        </w:rPr>
        <w:t>Zeit</w:t>
      </w:r>
      <w:r>
        <w:rPr>
          <w:i/>
        </w:rPr>
        <w:t xml:space="preserve"> </w:t>
      </w:r>
      <w:r w:rsidRPr="00C16DEA">
        <w:rPr>
          <w:i/>
        </w:rPr>
        <w:t>Geist</w:t>
      </w:r>
      <w:r>
        <w:t xml:space="preserve"> (spirito del tempo); offrire stimoli e spunti di una contemporanea “critica degli eventi”, verso progetti estesi e programmi continui di valorizzazione urbana.</w:t>
      </w:r>
    </w:p>
    <w:p w14:paraId="6FAD3FE6" w14:textId="3C31E0E2" w:rsidR="000077A1" w:rsidRDefault="008E7184" w:rsidP="00245960">
      <w:pPr>
        <w:spacing w:line="240" w:lineRule="exact"/>
      </w:pPr>
      <w:r>
        <w:t xml:space="preserve">Comprendere </w:t>
      </w:r>
      <w:r w:rsidR="00457450">
        <w:t xml:space="preserve">i </w:t>
      </w:r>
      <w:r w:rsidR="000077A1">
        <w:t xml:space="preserve">percorsi di progettazione dei principali grandi eventi contemporanei realizzati e previsti nel nostro Paese (Expo Milano 2015, Capitale Europea della Cultura Matera 2019, Capitali Italiane della Cultura; </w:t>
      </w:r>
      <w:r w:rsidR="00B67E50">
        <w:t xml:space="preserve">Olimpiadi Invernali </w:t>
      </w:r>
      <w:r w:rsidR="000077A1">
        <w:t>Milano Cortina 2026).</w:t>
      </w:r>
    </w:p>
    <w:p w14:paraId="64794BB2" w14:textId="77777777" w:rsidR="000077A1" w:rsidRDefault="000077A1" w:rsidP="00245960">
      <w:pPr>
        <w:spacing w:before="120" w:line="240" w:lineRule="exact"/>
      </w:pPr>
      <w:r>
        <w:t>Al termine del corso, lo studente sarà in grado di:</w:t>
      </w:r>
    </w:p>
    <w:p w14:paraId="1C59D04C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analizzare i grandi eventi contemporanei rispetto a contesti sociali, economici, culturali, nazionali e internazionali;</w:t>
      </w:r>
    </w:p>
    <w:p w14:paraId="3C98A4E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e comprendere i meccanismi costitutivi di un grande evento e il suo valore come strumento di comunicazione, promozione, valorizzazione di città e territori;</w:t>
      </w:r>
    </w:p>
    <w:p w14:paraId="46FB6C6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mettersi alla prova in workshop di progettazione concreta, sperimentazione pratica delle conoscenze acquisite.</w:t>
      </w:r>
    </w:p>
    <w:p w14:paraId="367AFC52" w14:textId="77777777" w:rsidR="000077A1" w:rsidRDefault="000077A1" w:rsidP="002459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72E9927" w14:textId="77777777" w:rsidR="000077A1" w:rsidRDefault="000077A1" w:rsidP="00245960">
      <w:pPr>
        <w:spacing w:line="240" w:lineRule="exact"/>
        <w:rPr>
          <w:i/>
        </w:rPr>
      </w:pPr>
      <w:r w:rsidRPr="00100A4A">
        <w:rPr>
          <w:i/>
        </w:rPr>
        <w:t>Storia e cultura dei grandi eventi moderni</w:t>
      </w:r>
      <w:r>
        <w:rPr>
          <w:i/>
        </w:rPr>
        <w:t xml:space="preserve"> (lezioni frontali)</w:t>
      </w:r>
    </w:p>
    <w:p w14:paraId="41B62BF5" w14:textId="77777777" w:rsidR="000077A1" w:rsidRPr="001C6EA4" w:rsidRDefault="000077A1" w:rsidP="00245960">
      <w:pPr>
        <w:spacing w:line="240" w:lineRule="exact"/>
        <w:rPr>
          <w:i/>
        </w:rPr>
      </w:pPr>
      <w:r>
        <w:rPr>
          <w:i/>
        </w:rPr>
        <w:t>–</w:t>
      </w:r>
      <w:r>
        <w:rPr>
          <w:i/>
        </w:rPr>
        <w:tab/>
      </w:r>
      <w:r>
        <w:t>Le esposizioni universali tra Otto e Novecento. Quale Expo per il III Millennio.</w:t>
      </w:r>
    </w:p>
    <w:p w14:paraId="04C13817" w14:textId="77777777" w:rsidR="000077A1" w:rsidRDefault="000077A1" w:rsidP="00245960">
      <w:pPr>
        <w:spacing w:line="240" w:lineRule="exact"/>
      </w:pPr>
      <w:r>
        <w:t>–</w:t>
      </w:r>
      <w:r>
        <w:tab/>
        <w:t>I grandi eventi mondiali alla prova della contemporaneità. Nuovi mondi, nuove</w:t>
      </w:r>
      <w:r>
        <w:tab/>
        <w:t>capitali, nuove scene urbane.</w:t>
      </w:r>
    </w:p>
    <w:p w14:paraId="039174EB" w14:textId="6083D3BD" w:rsidR="000077A1" w:rsidRPr="004227F7" w:rsidRDefault="000077A1" w:rsidP="00D476A1">
      <w:pPr>
        <w:spacing w:line="240" w:lineRule="exact"/>
        <w:ind w:left="284" w:hanging="284"/>
      </w:pPr>
      <w:r>
        <w:t>–</w:t>
      </w:r>
      <w:r>
        <w:tab/>
        <w:t>Le capitali europee della cultura,</w:t>
      </w:r>
      <w:r w:rsidRPr="00DA3C6F">
        <w:t xml:space="preserve"> </w:t>
      </w:r>
      <w:r w:rsidR="00D476A1">
        <w:t xml:space="preserve">dal </w:t>
      </w:r>
      <w:r w:rsidRPr="00DA3C6F">
        <w:t>1985 ad oggi.</w:t>
      </w:r>
      <w:r>
        <w:t xml:space="preserve"> </w:t>
      </w:r>
      <w:r w:rsidRPr="004227F7">
        <w:t xml:space="preserve">Le capitali italiane. Le Olimpiadi </w:t>
      </w:r>
      <w:r>
        <w:t>dell’era moderna.</w:t>
      </w:r>
    </w:p>
    <w:p w14:paraId="7E3F1570" w14:textId="77777777" w:rsidR="000077A1" w:rsidRPr="004227F7" w:rsidRDefault="000077A1" w:rsidP="00245960">
      <w:pPr>
        <w:spacing w:line="240" w:lineRule="exact"/>
      </w:pPr>
      <w:r w:rsidRPr="004227F7">
        <w:t>–</w:t>
      </w:r>
      <w:r w:rsidRPr="004227F7">
        <w:tab/>
        <w:t>Event planning, event management.</w:t>
      </w:r>
    </w:p>
    <w:p w14:paraId="5526611F" w14:textId="77777777" w:rsidR="000077A1" w:rsidRDefault="000077A1" w:rsidP="00245960">
      <w:pPr>
        <w:spacing w:line="240" w:lineRule="exact"/>
      </w:pPr>
      <w:r>
        <w:t>–</w:t>
      </w:r>
      <w:r>
        <w:tab/>
        <w:t>Modelli di governance dei grandi eventi.</w:t>
      </w:r>
    </w:p>
    <w:p w14:paraId="3C68D0C8" w14:textId="77777777" w:rsidR="000077A1" w:rsidRDefault="000077A1" w:rsidP="00245960">
      <w:pPr>
        <w:spacing w:line="240" w:lineRule="exact"/>
      </w:pPr>
      <w:r>
        <w:t>–</w:t>
      </w:r>
      <w:r>
        <w:tab/>
        <w:t>La committenza, i comitati, le strutture e le opere, gli staff.</w:t>
      </w:r>
    </w:p>
    <w:p w14:paraId="1C1E5F6D" w14:textId="77777777" w:rsidR="000077A1" w:rsidRPr="00683091" w:rsidRDefault="000077A1" w:rsidP="00245960">
      <w:pPr>
        <w:spacing w:line="240" w:lineRule="exact"/>
        <w:rPr>
          <w:lang w:val="en-US"/>
        </w:rPr>
      </w:pPr>
      <w:r w:rsidRPr="00100A4A">
        <w:rPr>
          <w:lang w:val="en-US"/>
        </w:rPr>
        <w:t>–</w:t>
      </w:r>
      <w:r w:rsidRPr="00100A4A">
        <w:rPr>
          <w:lang w:val="en-US"/>
        </w:rPr>
        <w:tab/>
      </w:r>
      <w:r w:rsidRPr="00683091">
        <w:rPr>
          <w:lang w:val="en-US"/>
        </w:rPr>
        <w:t>Fundraising, sponsoring, marketing</w:t>
      </w:r>
      <w:r>
        <w:rPr>
          <w:lang w:val="en-US"/>
        </w:rPr>
        <w:t xml:space="preserve"> dei grandi eventi.</w:t>
      </w:r>
    </w:p>
    <w:p w14:paraId="543F991C" w14:textId="77777777" w:rsidR="000077A1" w:rsidRPr="00995CC4" w:rsidRDefault="000077A1" w:rsidP="00245960">
      <w:pPr>
        <w:spacing w:line="240" w:lineRule="exact"/>
        <w:rPr>
          <w:lang w:val="en-US"/>
        </w:rPr>
      </w:pPr>
      <w:r>
        <w:t>–</w:t>
      </w:r>
      <w:r>
        <w:tab/>
      </w:r>
      <w:r w:rsidRPr="00683091">
        <w:t xml:space="preserve">Impatti </w:t>
      </w:r>
      <w:r>
        <w:t xml:space="preserve">sociali, culturali ambientali, economici. </w:t>
      </w:r>
      <w:r w:rsidRPr="00995CC4">
        <w:rPr>
          <w:lang w:val="en-US"/>
        </w:rPr>
        <w:t>Quale valutazione.</w:t>
      </w:r>
    </w:p>
    <w:p w14:paraId="26E1B013" w14:textId="77777777" w:rsidR="000077A1" w:rsidRPr="00DA3C6F" w:rsidRDefault="000077A1" w:rsidP="00245960">
      <w:pPr>
        <w:spacing w:before="120" w:line="240" w:lineRule="exact"/>
        <w:rPr>
          <w:lang w:val="en-US"/>
        </w:rPr>
      </w:pPr>
      <w:r w:rsidRPr="00DA3C6F">
        <w:rPr>
          <w:i/>
          <w:lang w:val="en-US"/>
        </w:rPr>
        <w:lastRenderedPageBreak/>
        <w:t>Study cases, project work (laboratori)</w:t>
      </w:r>
    </w:p>
    <w:p w14:paraId="3B2C87C5" w14:textId="77777777" w:rsidR="000077A1" w:rsidRDefault="000077A1" w:rsidP="00245960">
      <w:pPr>
        <w:ind w:left="284" w:hanging="284"/>
      </w:pPr>
      <w:r>
        <w:t>–</w:t>
      </w:r>
      <w:r>
        <w:tab/>
        <w:t xml:space="preserve">Dall’evento al progetto/programma di valorizzazione urbana “oltre gli eventi”. Mappa di territori e comunità; progettazione </w:t>
      </w:r>
      <w:r w:rsidRPr="000077A1">
        <w:rPr>
          <w:sz w:val="18"/>
        </w:rPr>
        <w:t>di</w:t>
      </w:r>
      <w:r w:rsidRPr="000077A1">
        <w:t xml:space="preserve"> </w:t>
      </w:r>
      <w:r>
        <w:t>nuovi eventi.</w:t>
      </w:r>
    </w:p>
    <w:p w14:paraId="36615341" w14:textId="25BE6111" w:rsidR="000077A1" w:rsidRPr="00245960" w:rsidRDefault="000077A1" w:rsidP="002459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2367">
        <w:rPr>
          <w:rStyle w:val="Rimandonotaapidipagina"/>
          <w:b/>
          <w:i/>
          <w:sz w:val="18"/>
        </w:rPr>
        <w:footnoteReference w:id="1"/>
      </w:r>
    </w:p>
    <w:p w14:paraId="19D0C0FB" w14:textId="0FFF6740" w:rsidR="000077A1" w:rsidRPr="000A2367" w:rsidRDefault="000077A1" w:rsidP="000A2367">
      <w:r w:rsidRPr="000A2367">
        <w:rPr>
          <w:spacing w:val="-5"/>
          <w:sz w:val="18"/>
          <w:szCs w:val="18"/>
        </w:rPr>
        <w:t>C. Guala,</w:t>
      </w:r>
      <w:r w:rsidRPr="000A2367">
        <w:rPr>
          <w:i/>
          <w:spacing w:val="-5"/>
          <w:sz w:val="18"/>
          <w:szCs w:val="18"/>
        </w:rPr>
        <w:t xml:space="preserve"> Mega eventi. Modelli e storie di rigenerazione urbana,</w:t>
      </w:r>
      <w:r w:rsidRPr="000A2367">
        <w:rPr>
          <w:spacing w:val="-5"/>
          <w:sz w:val="18"/>
          <w:szCs w:val="18"/>
        </w:rPr>
        <w:t xml:space="preserve"> Carocci, Roma, 2007.</w:t>
      </w:r>
      <w:r w:rsidR="00D66EA3" w:rsidRPr="00DF3910">
        <w:rPr>
          <w:spacing w:val="-5"/>
          <w:szCs w:val="18"/>
        </w:rPr>
        <w:t xml:space="preserve"> </w:t>
      </w:r>
      <w:hyperlink r:id="rId9" w:history="1">
        <w:r w:rsidR="000A2367" w:rsidRPr="000A236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6F11533" w14:textId="250705E8" w:rsidR="000077A1" w:rsidRPr="00DF3910" w:rsidRDefault="000077A1" w:rsidP="000077A1">
      <w:pPr>
        <w:pStyle w:val="Testo1"/>
        <w:spacing w:before="0" w:line="240" w:lineRule="atLeast"/>
        <w:rPr>
          <w:spacing w:val="-5"/>
          <w:szCs w:val="18"/>
        </w:rPr>
      </w:pPr>
      <w:r w:rsidRPr="00CA60C8">
        <w:rPr>
          <w:spacing w:val="-5"/>
          <w:szCs w:val="18"/>
        </w:rPr>
        <w:t>M. Mailander</w:t>
      </w:r>
      <w:r w:rsidRPr="00DF3910">
        <w:rPr>
          <w:smallCaps/>
          <w:spacing w:val="-5"/>
          <w:szCs w:val="18"/>
        </w:rPr>
        <w:t xml:space="preserve"> </w:t>
      </w:r>
      <w:r w:rsidRPr="00DF3910">
        <w:rPr>
          <w:spacing w:val="-5"/>
          <w:szCs w:val="18"/>
        </w:rPr>
        <w:t>(a cura di),</w:t>
      </w:r>
      <w:r w:rsidRPr="00DF3910">
        <w:rPr>
          <w:i/>
          <w:spacing w:val="-5"/>
          <w:szCs w:val="18"/>
        </w:rPr>
        <w:t xml:space="preserve"> Il nuovo marketing dei sistemi territoriali. Scenari,</w:t>
      </w:r>
      <w:r w:rsidRPr="00DF3910">
        <w:rPr>
          <w:spacing w:val="-5"/>
          <w:szCs w:val="18"/>
        </w:rPr>
        <w:t xml:space="preserve"> </w:t>
      </w:r>
      <w:r w:rsidRPr="00DF3910">
        <w:rPr>
          <w:i/>
          <w:spacing w:val="-5"/>
          <w:szCs w:val="18"/>
        </w:rPr>
        <w:t>storie di successo, modelli concreti per creare brand destination vincenti</w:t>
      </w:r>
      <w:r w:rsidRPr="00DF3910">
        <w:rPr>
          <w:spacing w:val="-5"/>
          <w:szCs w:val="18"/>
        </w:rPr>
        <w:t>, Il Sole 24 Ore, Milano, 2012.</w:t>
      </w:r>
    </w:p>
    <w:p w14:paraId="197A4F21" w14:textId="00992C34" w:rsidR="0078144E" w:rsidRPr="000A2367" w:rsidRDefault="00CA60C8" w:rsidP="000A2367">
      <w:r w:rsidRPr="000A2367">
        <w:rPr>
          <w:spacing w:val="-5"/>
          <w:sz w:val="18"/>
          <w:szCs w:val="18"/>
        </w:rPr>
        <w:t>L. Argano</w:t>
      </w:r>
      <w:r w:rsidR="0078144E" w:rsidRPr="000A2367">
        <w:rPr>
          <w:spacing w:val="-5"/>
          <w:sz w:val="18"/>
          <w:szCs w:val="18"/>
        </w:rPr>
        <w:t xml:space="preserve">, </w:t>
      </w:r>
      <w:r w:rsidR="0078144E" w:rsidRPr="000A2367">
        <w:rPr>
          <w:i/>
          <w:iCs/>
          <w:spacing w:val="-5"/>
          <w:sz w:val="18"/>
          <w:szCs w:val="18"/>
        </w:rPr>
        <w:t>G</w:t>
      </w:r>
      <w:r w:rsidR="00140CA6" w:rsidRPr="000A2367">
        <w:rPr>
          <w:i/>
          <w:iCs/>
          <w:spacing w:val="-5"/>
          <w:sz w:val="18"/>
          <w:szCs w:val="18"/>
        </w:rPr>
        <w:t>uida alla progettazione della città culturale</w:t>
      </w:r>
      <w:r w:rsidR="00140CA6" w:rsidRPr="000A2367">
        <w:rPr>
          <w:spacing w:val="-5"/>
          <w:sz w:val="18"/>
          <w:szCs w:val="18"/>
        </w:rPr>
        <w:t xml:space="preserve">, Franco Angeli, Milano, </w:t>
      </w:r>
      <w:r w:rsidR="00DF3910" w:rsidRPr="000A2367">
        <w:rPr>
          <w:spacing w:val="-5"/>
          <w:sz w:val="18"/>
          <w:szCs w:val="18"/>
        </w:rPr>
        <w:t>2021</w:t>
      </w:r>
      <w:r w:rsidR="000A2367" w:rsidRPr="000A2367">
        <w:rPr>
          <w:i/>
          <w:sz w:val="16"/>
          <w:szCs w:val="16"/>
        </w:rPr>
        <w:t xml:space="preserve"> </w:t>
      </w:r>
      <w:hyperlink r:id="rId10" w:history="1">
        <w:r w:rsidR="000A2367" w:rsidRPr="000A236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C6FCC0" w14:textId="77777777" w:rsidR="000077A1" w:rsidRPr="000077A1" w:rsidRDefault="000077A1" w:rsidP="0019151E">
      <w:pPr>
        <w:pStyle w:val="Testo1"/>
      </w:pPr>
      <w:r w:rsidRPr="000077A1">
        <w:t>Ulteriore bibliografia verrà comunicata durante il corso e sulla pagina personale del docente nella piattaforma Blackboard.</w:t>
      </w:r>
    </w:p>
    <w:p w14:paraId="21DB269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637A31" w14:textId="77777777" w:rsidR="000077A1" w:rsidRPr="0019151E" w:rsidRDefault="000077A1" w:rsidP="0019151E">
      <w:pPr>
        <w:pStyle w:val="Testo2"/>
      </w:pPr>
      <w:r w:rsidRPr="0019151E">
        <w:t>Lezioni frontali, testimonianze di esperti, seminari di approfondimento e laboratori (project work).</w:t>
      </w:r>
    </w:p>
    <w:p w14:paraId="56538AC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FF101D" w14:textId="77777777" w:rsidR="000077A1" w:rsidRPr="0019151E" w:rsidRDefault="000077A1" w:rsidP="0019151E">
      <w:pPr>
        <w:pStyle w:val="Testo2"/>
      </w:pPr>
      <w:r w:rsidRPr="0019151E">
        <w:t>Prove intermedie, tesi finali (paper), esami orali (presentazione e discussione dei paper).</w:t>
      </w:r>
    </w:p>
    <w:p w14:paraId="1D1A07FF" w14:textId="77777777" w:rsidR="000077A1" w:rsidRPr="0019151E" w:rsidRDefault="000077A1" w:rsidP="0019151E">
      <w:pPr>
        <w:pStyle w:val="Testo2"/>
      </w:pPr>
      <w:r w:rsidRPr="0019151E">
        <w:t>Il paper finale è un lavoro individuale ed è il risultato del project work che chiude le lezioni. Alla discussione del paper, focus dell’esame (peso: 75%) si affianca la verifica delle letture assegnate durante il corso, distinte caso per caso in coerenza con i progetti dei paper (peso: 25%).</w:t>
      </w:r>
    </w:p>
    <w:p w14:paraId="0AB184DA" w14:textId="77777777" w:rsidR="000077A1" w:rsidRDefault="000077A1" w:rsidP="000077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42500C" w14:textId="77777777" w:rsidR="000077A1" w:rsidRPr="0019151E" w:rsidRDefault="000077A1" w:rsidP="0019151E">
      <w:pPr>
        <w:pStyle w:val="Testo2"/>
      </w:pPr>
      <w:r w:rsidRPr="0019151E">
        <w:t>Si consiglia la partecipazione a tutte le lezioni. Qualora ciò non fosse possibile, e con adeguate motivazioni, lo studente concordi col docente un personale programma d’esame.</w:t>
      </w:r>
    </w:p>
    <w:p w14:paraId="2605C6AF" w14:textId="77777777" w:rsidR="000077A1" w:rsidRPr="0011507E" w:rsidRDefault="000077A1" w:rsidP="0011507E">
      <w:pPr>
        <w:pStyle w:val="Testo2"/>
      </w:pPr>
      <w:r w:rsidRPr="0019151E">
        <w:t xml:space="preserve">Sono ottimi prerequisiti le conoscenze e le sensibilità – o perlomeno curiosità spiccate – </w:t>
      </w:r>
      <w:r w:rsidRPr="0011507E">
        <w:t>verso la storia culturale, la geografia umana, l’antropologia e la sociologia, nonché una conoscenza adeguata di software editoriali e grafici e, soprattutto, qualità di scrittura.</w:t>
      </w:r>
    </w:p>
    <w:p w14:paraId="46A3F7BF" w14:textId="77777777" w:rsidR="0011507E" w:rsidRPr="0011507E" w:rsidRDefault="0011507E" w:rsidP="0011507E">
      <w:pPr>
        <w:pStyle w:val="Testo2"/>
        <w:rPr>
          <w:rFonts w:ascii="Times New Roman" w:hAnsi="Times New Roman"/>
          <w:iCs/>
          <w:szCs w:val="18"/>
        </w:rPr>
      </w:pPr>
      <w:r w:rsidRPr="0011507E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11507E" w:rsidRPr="001150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7741" w14:textId="77777777" w:rsidR="00AE2C57" w:rsidRDefault="00AE2C57" w:rsidP="00D66EA3">
      <w:pPr>
        <w:spacing w:line="240" w:lineRule="auto"/>
      </w:pPr>
      <w:r>
        <w:separator/>
      </w:r>
    </w:p>
  </w:endnote>
  <w:endnote w:type="continuationSeparator" w:id="0">
    <w:p w14:paraId="4443D35A" w14:textId="77777777" w:rsidR="00AE2C57" w:rsidRDefault="00AE2C57" w:rsidP="00D6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519C" w14:textId="77777777" w:rsidR="00AE2C57" w:rsidRDefault="00AE2C57" w:rsidP="00D66EA3">
      <w:pPr>
        <w:spacing w:line="240" w:lineRule="auto"/>
      </w:pPr>
      <w:r>
        <w:separator/>
      </w:r>
    </w:p>
  </w:footnote>
  <w:footnote w:type="continuationSeparator" w:id="0">
    <w:p w14:paraId="1A167BFB" w14:textId="77777777" w:rsidR="00AE2C57" w:rsidRDefault="00AE2C57" w:rsidP="00D66EA3">
      <w:pPr>
        <w:spacing w:line="240" w:lineRule="auto"/>
      </w:pPr>
      <w:r>
        <w:continuationSeparator/>
      </w:r>
    </w:p>
  </w:footnote>
  <w:footnote w:id="1">
    <w:p w14:paraId="1F0A6DB5" w14:textId="77777777" w:rsidR="000A2367" w:rsidRDefault="000A2367" w:rsidP="000A23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E1F7ECF" w14:textId="77777777" w:rsidR="000A2367" w:rsidRDefault="000A2367" w:rsidP="000A2367"/>
    <w:p w14:paraId="139E8964" w14:textId="3DA70868" w:rsidR="000A2367" w:rsidRDefault="000A236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110"/>
    <w:multiLevelType w:val="hybridMultilevel"/>
    <w:tmpl w:val="3408A5F8"/>
    <w:lvl w:ilvl="0" w:tplc="5060F3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A1"/>
    <w:rsid w:val="000077A1"/>
    <w:rsid w:val="000A2367"/>
    <w:rsid w:val="000F754C"/>
    <w:rsid w:val="0011507E"/>
    <w:rsid w:val="00140CA6"/>
    <w:rsid w:val="00187B99"/>
    <w:rsid w:val="0019151E"/>
    <w:rsid w:val="002014DD"/>
    <w:rsid w:val="00245960"/>
    <w:rsid w:val="002D5E17"/>
    <w:rsid w:val="00457450"/>
    <w:rsid w:val="004D1217"/>
    <w:rsid w:val="004D6008"/>
    <w:rsid w:val="00585536"/>
    <w:rsid w:val="005A2760"/>
    <w:rsid w:val="00604EE4"/>
    <w:rsid w:val="00640794"/>
    <w:rsid w:val="006438B3"/>
    <w:rsid w:val="006F1772"/>
    <w:rsid w:val="007319D5"/>
    <w:rsid w:val="0078144E"/>
    <w:rsid w:val="008942E7"/>
    <w:rsid w:val="008A1204"/>
    <w:rsid w:val="008E7184"/>
    <w:rsid w:val="00900CCA"/>
    <w:rsid w:val="00924B77"/>
    <w:rsid w:val="00940DA2"/>
    <w:rsid w:val="009E055C"/>
    <w:rsid w:val="00A74F6F"/>
    <w:rsid w:val="00A82787"/>
    <w:rsid w:val="00AD7557"/>
    <w:rsid w:val="00AE2C57"/>
    <w:rsid w:val="00B50C5D"/>
    <w:rsid w:val="00B51253"/>
    <w:rsid w:val="00B525CC"/>
    <w:rsid w:val="00B67E50"/>
    <w:rsid w:val="00CA60C8"/>
    <w:rsid w:val="00D02BFA"/>
    <w:rsid w:val="00D404F2"/>
    <w:rsid w:val="00D476A1"/>
    <w:rsid w:val="00D66EA3"/>
    <w:rsid w:val="00DF3910"/>
    <w:rsid w:val="00E607E6"/>
    <w:rsid w:val="00F46B12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ucio-argano/guida-alla-progettazione-della-cittac2a0culturale-rinnovare-le-geografie-il-design-lazione-sociale-la-pianificazione-nello-spazio-urbano-9788835117544-6958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ala-chito/mega-eventi-immagini-e-legacy-dalle-olimpiadi-alle-expo-9788843075478-5276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9E5A-A51D-4357-ACC9-CCFD0261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550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2021-05-14T10:25:00Z</dcterms:created>
  <dcterms:modified xsi:type="dcterms:W3CDTF">2022-09-01T07:29:00Z</dcterms:modified>
</cp:coreProperties>
</file>