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235D" w14:textId="321815CB" w:rsidR="00FD5E16" w:rsidRPr="00A03999" w:rsidRDefault="00FD5E16" w:rsidP="00A03999">
      <w:pPr>
        <w:pStyle w:val="Titolo1"/>
      </w:pPr>
      <w:r w:rsidRPr="00A03999">
        <w:t>Marketing</w:t>
      </w:r>
      <w:r w:rsidR="00876CA2" w:rsidRPr="00A03999">
        <w:t xml:space="preserve"> della cultura</w:t>
      </w:r>
    </w:p>
    <w:p w14:paraId="3960A1F8" w14:textId="2768BF58" w:rsidR="00FD5E16" w:rsidRPr="0062325B" w:rsidRDefault="00FD5E16" w:rsidP="0029604D">
      <w:pPr>
        <w:tabs>
          <w:tab w:val="clear" w:pos="284"/>
        </w:tabs>
        <w:outlineLvl w:val="1"/>
        <w:rPr>
          <w:smallCaps/>
          <w:noProof/>
          <w:sz w:val="18"/>
          <w:szCs w:val="18"/>
        </w:rPr>
      </w:pPr>
      <w:r w:rsidRPr="0062325B">
        <w:rPr>
          <w:smallCaps/>
          <w:noProof/>
          <w:sz w:val="18"/>
          <w:szCs w:val="18"/>
        </w:rPr>
        <w:t>Prof. Alessandra Tzannis</w:t>
      </w:r>
      <w:r w:rsidR="00876CA2" w:rsidRPr="0062325B">
        <w:rPr>
          <w:smallCaps/>
          <w:noProof/>
          <w:sz w:val="18"/>
          <w:szCs w:val="18"/>
        </w:rPr>
        <w:t xml:space="preserve">, </w:t>
      </w:r>
      <w:r w:rsidR="00A03999">
        <w:rPr>
          <w:smallCaps/>
          <w:noProof/>
          <w:sz w:val="18"/>
          <w:szCs w:val="18"/>
        </w:rPr>
        <w:t>P</w:t>
      </w:r>
      <w:r w:rsidR="00876CA2" w:rsidRPr="0062325B">
        <w:rPr>
          <w:smallCaps/>
          <w:noProof/>
          <w:sz w:val="18"/>
          <w:szCs w:val="18"/>
        </w:rPr>
        <w:t>rof. Chiara Piancatelli</w:t>
      </w:r>
    </w:p>
    <w:p w14:paraId="4B32723F" w14:textId="37EFB825" w:rsidR="002D5E17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OBIETTIVO DEL CORSO E RISULTATI DI APPRENDIMENTO ATTESI</w:t>
      </w:r>
    </w:p>
    <w:p w14:paraId="3B3CFEDD" w14:textId="5A74BD96" w:rsidR="00876CA2" w:rsidRPr="00A03999" w:rsidRDefault="00FD5E16" w:rsidP="0029604D">
      <w:pPr>
        <w:tabs>
          <w:tab w:val="clear" w:pos="284"/>
        </w:tabs>
        <w:rPr>
          <w:rFonts w:eastAsia="MS Mincho"/>
          <w:szCs w:val="18"/>
        </w:rPr>
      </w:pPr>
      <w:r w:rsidRPr="00A03999">
        <w:rPr>
          <w:rFonts w:eastAsia="MS Mincho"/>
          <w:i/>
          <w:iCs/>
          <w:szCs w:val="18"/>
        </w:rPr>
        <w:t>Obiettivo</w:t>
      </w:r>
      <w:r w:rsidRPr="00A03999">
        <w:rPr>
          <w:rFonts w:eastAsia="MS Mincho"/>
          <w:szCs w:val="18"/>
        </w:rPr>
        <w:t xml:space="preserve"> di questo corso è </w:t>
      </w:r>
      <w:r w:rsidR="00876CA2" w:rsidRPr="00A03999">
        <w:rPr>
          <w:rFonts w:eastAsia="MS Mincho"/>
          <w:szCs w:val="18"/>
        </w:rPr>
        <w:t>duplice.</w:t>
      </w:r>
    </w:p>
    <w:p w14:paraId="6955BBD7" w14:textId="7C053A2D" w:rsidR="00FD5E16" w:rsidRPr="00A03999" w:rsidRDefault="00876CA2" w:rsidP="00A03999">
      <w:pPr>
        <w:rPr>
          <w:smallCaps/>
          <w:noProof/>
          <w:szCs w:val="18"/>
        </w:rPr>
      </w:pPr>
      <w:r w:rsidRPr="00A03999">
        <w:rPr>
          <w:rFonts w:eastAsia="MS Mincho"/>
          <w:szCs w:val="18"/>
        </w:rPr>
        <w:t xml:space="preserve">Nella sua prima parte l’obiettivo è quello di </w:t>
      </w:r>
      <w:r w:rsidR="00FD5E16" w:rsidRPr="00A03999">
        <w:rPr>
          <w:rFonts w:eastAsia="MS Mincho"/>
          <w:szCs w:val="18"/>
        </w:rPr>
        <w:t xml:space="preserve">fornire agli studenti gli elementi fondanti la disciplina del marketing. A tale scopo si approfondiranno il significato e il ruolo che il marketing </w:t>
      </w:r>
      <w:r w:rsidR="000100C4" w:rsidRPr="00A03999">
        <w:rPr>
          <w:rFonts w:eastAsia="MS Mincho"/>
          <w:szCs w:val="18"/>
        </w:rPr>
        <w:t xml:space="preserve">ha </w:t>
      </w:r>
      <w:r w:rsidR="000100C4" w:rsidRPr="00A03999">
        <w:rPr>
          <w:b/>
          <w:i/>
        </w:rPr>
        <w:t>progressivamente</w:t>
      </w:r>
      <w:r w:rsidR="000100C4" w:rsidRPr="00A03999">
        <w:rPr>
          <w:rFonts w:eastAsia="MS Mincho"/>
          <w:szCs w:val="18"/>
        </w:rPr>
        <w:t xml:space="preserve"> acquisito</w:t>
      </w:r>
      <w:r w:rsidR="00FD5E16" w:rsidRPr="00A03999">
        <w:rPr>
          <w:rFonts w:eastAsia="MS Mincho"/>
          <w:szCs w:val="18"/>
        </w:rPr>
        <w:t xml:space="preserve"> nella gestione delle attività dell’impresa. L’insegnamento si propone di analizzare il processo di marketing management come momento di integrazione tra la dimensione analitica, la dimensione strategica e la dimensione operativa della relazione impresa-mercato.</w:t>
      </w:r>
      <w:r w:rsidR="00FD5E16" w:rsidRPr="00A03999">
        <w:rPr>
          <w:smallCaps/>
          <w:noProof/>
          <w:szCs w:val="18"/>
        </w:rPr>
        <w:t xml:space="preserve"> </w:t>
      </w:r>
    </w:p>
    <w:p w14:paraId="6AE45493" w14:textId="479ACDF3" w:rsidR="000100C4" w:rsidRPr="00A03999" w:rsidRDefault="00876CA2" w:rsidP="0029604D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A03999">
        <w:rPr>
          <w:rFonts w:eastAsia="MS Mincho"/>
          <w:szCs w:val="18"/>
        </w:rPr>
        <w:t xml:space="preserve">Nella sua seconda parte l’obiettivo è quello di </w:t>
      </w:r>
      <w:r w:rsidR="00656567" w:rsidRPr="00A03999">
        <w:rPr>
          <w:rFonts w:eastAsia="Calibri"/>
          <w:szCs w:val="18"/>
          <w:lang w:eastAsia="en-US"/>
        </w:rPr>
        <w:t>focalizzare</w:t>
      </w:r>
      <w:r w:rsidRPr="00A03999">
        <w:rPr>
          <w:rFonts w:eastAsia="Calibri"/>
          <w:szCs w:val="18"/>
          <w:lang w:eastAsia="en-US"/>
        </w:rPr>
        <w:t xml:space="preserve"> l’attenzione sulle</w:t>
      </w:r>
      <w:r w:rsidR="000100C4" w:rsidRPr="00A03999">
        <w:rPr>
          <w:rFonts w:eastAsia="Calibri"/>
          <w:szCs w:val="18"/>
          <w:lang w:eastAsia="en-US"/>
        </w:rPr>
        <w:t xml:space="preserve"> leve di marketing operativo che assumono particolare importanza all’interno del mercato artistico e culturale attuale.</w:t>
      </w:r>
      <w:r w:rsidRPr="00A03999">
        <w:rPr>
          <w:rFonts w:eastAsia="Calibri"/>
          <w:szCs w:val="18"/>
          <w:lang w:eastAsia="en-US"/>
        </w:rPr>
        <w:t xml:space="preserve"> Particolare rilievo sarà </w:t>
      </w:r>
      <w:r w:rsidR="000100C4" w:rsidRPr="00A03999">
        <w:rPr>
          <w:rFonts w:eastAsia="Calibri"/>
          <w:szCs w:val="18"/>
          <w:lang w:eastAsia="en-US"/>
        </w:rPr>
        <w:t>dato alla dimensione degli</w:t>
      </w:r>
      <w:r w:rsidRPr="00A03999">
        <w:rPr>
          <w:rFonts w:eastAsia="Calibri"/>
          <w:szCs w:val="18"/>
          <w:lang w:eastAsia="en-US"/>
        </w:rPr>
        <w:t xml:space="preserve"> eventi culturali</w:t>
      </w:r>
      <w:r w:rsidR="000100C4" w:rsidRPr="00A03999">
        <w:rPr>
          <w:rFonts w:eastAsia="Calibri"/>
          <w:szCs w:val="18"/>
          <w:lang w:eastAsia="en-US"/>
        </w:rPr>
        <w:t>, considerati essere di particolare rilievo.</w:t>
      </w:r>
    </w:p>
    <w:p w14:paraId="2B59E6D7" w14:textId="77777777" w:rsidR="0029604D" w:rsidRPr="00A03999" w:rsidRDefault="00876CA2" w:rsidP="0029604D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Il corso, in ultima analisi</w:t>
      </w:r>
      <w:r w:rsidR="0029604D" w:rsidRPr="00A03999">
        <w:rPr>
          <w:rFonts w:eastAsia="Calibri"/>
          <w:szCs w:val="18"/>
          <w:lang w:eastAsia="en-US"/>
        </w:rPr>
        <w:t>,</w:t>
      </w:r>
      <w:r w:rsidR="000100C4" w:rsidRPr="00A03999">
        <w:rPr>
          <w:rFonts w:eastAsia="Calibri"/>
          <w:szCs w:val="18"/>
          <w:lang w:eastAsia="en-US"/>
        </w:rPr>
        <w:t xml:space="preserve"> ha l’obiettivo più generale di </w:t>
      </w:r>
      <w:r w:rsidRPr="00A03999">
        <w:rPr>
          <w:rFonts w:eastAsia="Calibri"/>
          <w:szCs w:val="18"/>
          <w:lang w:eastAsia="en-US"/>
        </w:rPr>
        <w:t>portare gli studenti a conoscenza degli strumenti analitici, strategici e operativi necessari per comprendere e analizzare il mercato della cultura</w:t>
      </w:r>
      <w:r w:rsidR="000100C4" w:rsidRPr="00A03999">
        <w:rPr>
          <w:rFonts w:eastAsia="Calibri"/>
          <w:szCs w:val="18"/>
          <w:lang w:eastAsia="en-US"/>
        </w:rPr>
        <w:t>.</w:t>
      </w:r>
    </w:p>
    <w:p w14:paraId="191428F5" w14:textId="32F9850C" w:rsidR="00FD5E16" w:rsidRPr="00A03999" w:rsidRDefault="00FD5E16" w:rsidP="00A03999">
      <w:pPr>
        <w:tabs>
          <w:tab w:val="clear" w:pos="284"/>
        </w:tabs>
        <w:spacing w:before="120"/>
        <w:rPr>
          <w:rFonts w:eastAsia="MS Mincho"/>
          <w:szCs w:val="18"/>
        </w:rPr>
      </w:pPr>
      <w:r w:rsidRPr="00A03999">
        <w:rPr>
          <w:noProof/>
          <w:szCs w:val="18"/>
        </w:rPr>
        <w:t>Al ternine dei corso gli studenti</w:t>
      </w:r>
      <w:r w:rsidR="00AD7CE8" w:rsidRPr="00A03999">
        <w:rPr>
          <w:noProof/>
          <w:szCs w:val="18"/>
        </w:rPr>
        <w:t xml:space="preserve"> </w:t>
      </w:r>
      <w:r w:rsidR="00AD7CE8" w:rsidRPr="00A03999">
        <w:rPr>
          <w:i/>
          <w:iCs/>
          <w:noProof/>
          <w:szCs w:val="18"/>
        </w:rPr>
        <w:t>saranno in grado di</w:t>
      </w:r>
      <w:r w:rsidRPr="00A03999">
        <w:rPr>
          <w:noProof/>
          <w:szCs w:val="18"/>
        </w:rPr>
        <w:t>:</w:t>
      </w:r>
    </w:p>
    <w:p w14:paraId="35741087" w14:textId="70B14E77" w:rsidR="00FD5E16" w:rsidRPr="00A03999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>comprender</w:t>
      </w:r>
      <w:r w:rsidR="00AD7CE8" w:rsidRPr="00A03999">
        <w:rPr>
          <w:noProof/>
          <w:szCs w:val="18"/>
        </w:rPr>
        <w:t>e</w:t>
      </w:r>
      <w:r w:rsidRPr="00A03999">
        <w:rPr>
          <w:noProof/>
          <w:szCs w:val="18"/>
        </w:rPr>
        <w:t xml:space="preserve"> le potenzialità di un orientamento al mercato e implementare tale apporccio in un contesto aziendale</w:t>
      </w:r>
      <w:r w:rsidR="00656567" w:rsidRPr="00A03999">
        <w:rPr>
          <w:noProof/>
          <w:szCs w:val="18"/>
        </w:rPr>
        <w:t>, specificatamente artistico-culturale</w:t>
      </w:r>
      <w:r w:rsidRPr="00A03999">
        <w:rPr>
          <w:noProof/>
          <w:szCs w:val="18"/>
        </w:rPr>
        <w:t>;</w:t>
      </w:r>
    </w:p>
    <w:p w14:paraId="35609F1A" w14:textId="2799E5E6" w:rsidR="00C103C6" w:rsidRPr="00A03999" w:rsidRDefault="00AD7CE8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 xml:space="preserve">identificare e sviluppare </w:t>
      </w:r>
      <w:r w:rsidR="00FD5E16" w:rsidRPr="00A03999">
        <w:rPr>
          <w:noProof/>
          <w:szCs w:val="18"/>
        </w:rPr>
        <w:t>le fasi del processo di marketing management</w:t>
      </w:r>
      <w:r w:rsidR="00656567" w:rsidRPr="00A03999">
        <w:rPr>
          <w:noProof/>
          <w:szCs w:val="18"/>
        </w:rPr>
        <w:t xml:space="preserve"> in particolare per una organizzazione culturale</w:t>
      </w:r>
      <w:r w:rsidRPr="00A03999">
        <w:rPr>
          <w:noProof/>
          <w:szCs w:val="18"/>
        </w:rPr>
        <w:t>;</w:t>
      </w:r>
    </w:p>
    <w:p w14:paraId="40AAD67F" w14:textId="1D29EA2D" w:rsidR="00FD5E16" w:rsidRPr="00A03999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 xml:space="preserve">effettuare un’analisi dell’ambiente di marketing per </w:t>
      </w:r>
      <w:r w:rsidR="00C103C6" w:rsidRPr="00A03999">
        <w:rPr>
          <w:noProof/>
          <w:szCs w:val="18"/>
        </w:rPr>
        <w:t>costruire una SWOT analysis finalizzata ad</w:t>
      </w:r>
      <w:r w:rsidR="00C96CBB" w:rsidRPr="00A03999">
        <w:rPr>
          <w:noProof/>
          <w:szCs w:val="18"/>
        </w:rPr>
        <w:t xml:space="preserve"> </w:t>
      </w:r>
      <w:r w:rsidRPr="00A03999">
        <w:rPr>
          <w:noProof/>
          <w:szCs w:val="18"/>
        </w:rPr>
        <w:t>assumere delle decisioni strategiche;</w:t>
      </w:r>
    </w:p>
    <w:p w14:paraId="74F39C9A" w14:textId="457BAB7C" w:rsidR="00FD5E16" w:rsidRPr="00A03999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>conoscer</w:t>
      </w:r>
      <w:r w:rsidR="00AD7CE8" w:rsidRPr="00A03999">
        <w:rPr>
          <w:noProof/>
          <w:szCs w:val="18"/>
        </w:rPr>
        <w:t>e</w:t>
      </w:r>
      <w:r w:rsidRPr="00A03999">
        <w:rPr>
          <w:noProof/>
          <w:szCs w:val="18"/>
        </w:rPr>
        <w:t xml:space="preserve"> </w:t>
      </w:r>
      <w:r w:rsidR="00AD7CE8" w:rsidRPr="00A03999">
        <w:rPr>
          <w:noProof/>
          <w:szCs w:val="18"/>
        </w:rPr>
        <w:t xml:space="preserve">le caratteristiche </w:t>
      </w:r>
      <w:r w:rsidRPr="00A03999">
        <w:rPr>
          <w:noProof/>
          <w:szCs w:val="18"/>
        </w:rPr>
        <w:t>e</w:t>
      </w:r>
      <w:r w:rsidR="00AD7CE8" w:rsidRPr="00A03999">
        <w:rPr>
          <w:noProof/>
          <w:szCs w:val="18"/>
        </w:rPr>
        <w:t>d</w:t>
      </w:r>
      <w:r w:rsidRPr="00A03999">
        <w:rPr>
          <w:noProof/>
          <w:szCs w:val="18"/>
        </w:rPr>
        <w:t xml:space="preserve"> utilizzare i principali strumenti della ricerca di marketing (interviste semi-strutturate, focus group, questionario);</w:t>
      </w:r>
    </w:p>
    <w:p w14:paraId="615E1D28" w14:textId="2CB7ECD4" w:rsidR="00FD5E16" w:rsidRPr="00A03999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 xml:space="preserve">implementare le strategie e le politiche di marketing </w:t>
      </w:r>
      <w:r w:rsidR="00AD7CE8" w:rsidRPr="00A03999">
        <w:rPr>
          <w:noProof/>
          <w:szCs w:val="18"/>
        </w:rPr>
        <w:t xml:space="preserve">anche </w:t>
      </w:r>
      <w:r w:rsidRPr="00A03999">
        <w:rPr>
          <w:noProof/>
          <w:szCs w:val="18"/>
        </w:rPr>
        <w:t>alla luce dell’impatto della digital transformation</w:t>
      </w:r>
      <w:r w:rsidR="000100C4" w:rsidRPr="00A03999">
        <w:rPr>
          <w:noProof/>
          <w:szCs w:val="18"/>
        </w:rPr>
        <w:t>;</w:t>
      </w:r>
    </w:p>
    <w:p w14:paraId="38BD14B0" w14:textId="27054D72" w:rsidR="000100C4" w:rsidRPr="00A03999" w:rsidRDefault="00656567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applicare gli strumenti di marketing nell’ambito della gestione di un evento culturale</w:t>
      </w:r>
      <w:r w:rsidR="000100C4" w:rsidRPr="00A03999">
        <w:rPr>
          <w:rFonts w:eastAsia="Calibri"/>
          <w:szCs w:val="18"/>
          <w:lang w:eastAsia="en-US"/>
        </w:rPr>
        <w:t>;</w:t>
      </w:r>
    </w:p>
    <w:p w14:paraId="00BD14C7" w14:textId="5EA099FF" w:rsidR="000100C4" w:rsidRPr="00A03999" w:rsidRDefault="000100C4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comprendere i principali elementi di marketing applicati al contesto artistico-culturale;</w:t>
      </w:r>
    </w:p>
    <w:p w14:paraId="061306F5" w14:textId="6C1CD185" w:rsidR="000100C4" w:rsidRPr="00A03999" w:rsidRDefault="000100C4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identificare gli elementi di un piano di marketing per un’organizzazione culturale;</w:t>
      </w:r>
    </w:p>
    <w:p w14:paraId="24246B27" w14:textId="0C48D5B8" w:rsidR="000100C4" w:rsidRPr="00A03999" w:rsidRDefault="000100C4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lastRenderedPageBreak/>
        <w:t>applicare gli strumenti di marketing nell’ambito della gestione di un evento culturale.</w:t>
      </w:r>
    </w:p>
    <w:p w14:paraId="7DA9C136" w14:textId="046C508A" w:rsidR="009B7FC2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PROGRAMMA DEL CORSO</w:t>
      </w:r>
    </w:p>
    <w:p w14:paraId="50D80E16" w14:textId="61A64371" w:rsidR="00FD5E16" w:rsidRDefault="00FD5E16" w:rsidP="009B30A6">
      <w:pPr>
        <w:rPr>
          <w:szCs w:val="18"/>
        </w:rPr>
      </w:pPr>
      <w:r w:rsidRPr="00A03999">
        <w:rPr>
          <w:szCs w:val="18"/>
        </w:rPr>
        <w:t>Il corso è articolato nelle seguenti parti fondamentali:</w:t>
      </w:r>
    </w:p>
    <w:p w14:paraId="6DDC7372" w14:textId="0D6D6EC2" w:rsidR="00656567" w:rsidRPr="00D53AB1" w:rsidRDefault="00656567" w:rsidP="00D53AB1">
      <w:pPr>
        <w:spacing w:before="120"/>
        <w:rPr>
          <w:szCs w:val="18"/>
        </w:rPr>
      </w:pPr>
      <w:r w:rsidRPr="00D53AB1">
        <w:rPr>
          <w:szCs w:val="18"/>
        </w:rPr>
        <w:t>MODULO I – Prof.</w:t>
      </w:r>
      <w:r w:rsidR="009B7FC2" w:rsidRPr="00D53AB1">
        <w:rPr>
          <w:szCs w:val="18"/>
        </w:rPr>
        <w:t>ssa</w:t>
      </w:r>
      <w:r w:rsidRPr="00D53AB1">
        <w:rPr>
          <w:szCs w:val="18"/>
        </w:rPr>
        <w:t xml:space="preserve"> </w:t>
      </w:r>
      <w:proofErr w:type="spellStart"/>
      <w:r w:rsidRPr="00D53AB1">
        <w:rPr>
          <w:szCs w:val="18"/>
        </w:rPr>
        <w:t>Tzannis</w:t>
      </w:r>
      <w:proofErr w:type="spellEnd"/>
    </w:p>
    <w:p w14:paraId="381C388E" w14:textId="57E676AB" w:rsidR="009B30A6" w:rsidRPr="00D53AB1" w:rsidRDefault="009B30A6" w:rsidP="009B30A6">
      <w:pPr>
        <w:pStyle w:val="Paragrafoelenco"/>
        <w:numPr>
          <w:ilvl w:val="0"/>
          <w:numId w:val="6"/>
        </w:numPr>
        <w:tabs>
          <w:tab w:val="clear" w:pos="284"/>
        </w:tabs>
        <w:rPr>
          <w:rFonts w:eastAsia="MS Mincho"/>
          <w:szCs w:val="20"/>
        </w:rPr>
      </w:pPr>
      <w:r w:rsidRPr="00D53AB1">
        <w:rPr>
          <w:rFonts w:eastAsia="MS Mincho"/>
          <w:i/>
          <w:szCs w:val="20"/>
        </w:rPr>
        <w:t>Capire i processi di marketing</w:t>
      </w:r>
      <w:r w:rsidRPr="00D53AB1">
        <w:rPr>
          <w:rFonts w:eastAsia="MS Mincho"/>
          <w:szCs w:val="20"/>
        </w:rPr>
        <w:t>:</w:t>
      </w:r>
    </w:p>
    <w:p w14:paraId="2DB279A7" w14:textId="77777777" w:rsidR="009B30A6" w:rsidRPr="00D53AB1" w:rsidRDefault="009B30A6" w:rsidP="009B30A6">
      <w:pPr>
        <w:rPr>
          <w:rFonts w:eastAsia="MS Mincho"/>
          <w:szCs w:val="20"/>
        </w:rPr>
      </w:pPr>
      <w:r w:rsidRPr="00D53AB1">
        <w:rPr>
          <w:rFonts w:eastAsia="MS Mincho"/>
          <w:szCs w:val="20"/>
        </w:rPr>
        <w:t xml:space="preserve">Costruire una relazione di valore con il cliente. Progettare la strategia e la relazione con il cliente. Creare un vantaggio competitivo.  </w:t>
      </w:r>
    </w:p>
    <w:p w14:paraId="32F1BBE2" w14:textId="0BAA63A5" w:rsidR="009B30A6" w:rsidRPr="00D53AB1" w:rsidRDefault="009B30A6" w:rsidP="009B30A6">
      <w:pPr>
        <w:pStyle w:val="Paragrafoelenco"/>
        <w:numPr>
          <w:ilvl w:val="0"/>
          <w:numId w:val="6"/>
        </w:numPr>
        <w:tabs>
          <w:tab w:val="clear" w:pos="284"/>
        </w:tabs>
        <w:rPr>
          <w:rFonts w:eastAsia="MS Mincho"/>
          <w:i/>
          <w:szCs w:val="20"/>
        </w:rPr>
      </w:pPr>
      <w:r w:rsidRPr="00D53AB1">
        <w:rPr>
          <w:rFonts w:eastAsia="MS Mincho"/>
          <w:i/>
          <w:szCs w:val="20"/>
        </w:rPr>
        <w:t>Analizzare consumatori e mercati:</w:t>
      </w:r>
    </w:p>
    <w:p w14:paraId="7EC19A20" w14:textId="77777777" w:rsidR="009B30A6" w:rsidRPr="00D53AB1" w:rsidRDefault="009B30A6" w:rsidP="009B30A6">
      <w:pPr>
        <w:tabs>
          <w:tab w:val="clear" w:pos="284"/>
        </w:tabs>
        <w:rPr>
          <w:rFonts w:eastAsia="MS Mincho"/>
          <w:szCs w:val="20"/>
        </w:rPr>
      </w:pPr>
      <w:r w:rsidRPr="00D53AB1">
        <w:rPr>
          <w:rFonts w:eastAsia="MS Mincho"/>
          <w:szCs w:val="20"/>
        </w:rPr>
        <w:t xml:space="preserve">Analizzare l’ambiente di marketing dell’impresa. Ricerche di marketing. Analizzare i mercati B-to-C e B-to-B. </w:t>
      </w:r>
    </w:p>
    <w:p w14:paraId="73F2AB9F" w14:textId="77777777" w:rsidR="009B30A6" w:rsidRPr="00D53AB1" w:rsidRDefault="009B30A6" w:rsidP="009B30A6">
      <w:pPr>
        <w:pStyle w:val="Paragrafoelenco"/>
        <w:numPr>
          <w:ilvl w:val="0"/>
          <w:numId w:val="6"/>
        </w:numPr>
        <w:tabs>
          <w:tab w:val="clear" w:pos="284"/>
        </w:tabs>
        <w:rPr>
          <w:rFonts w:eastAsia="MS Mincho"/>
          <w:i/>
          <w:szCs w:val="20"/>
        </w:rPr>
      </w:pPr>
      <w:r w:rsidRPr="00D53AB1">
        <w:rPr>
          <w:rFonts w:eastAsia="MS Mincho"/>
          <w:i/>
          <w:szCs w:val="20"/>
        </w:rPr>
        <w:t>Progettare e gestire il marketing:</w:t>
      </w:r>
    </w:p>
    <w:p w14:paraId="5B5B8911" w14:textId="6F06D3A7" w:rsidR="009B30A6" w:rsidRPr="00D53AB1" w:rsidRDefault="009B30A6" w:rsidP="009B30A6">
      <w:pPr>
        <w:tabs>
          <w:tab w:val="clear" w:pos="284"/>
        </w:tabs>
        <w:rPr>
          <w:rFonts w:eastAsia="MS Mincho"/>
          <w:szCs w:val="20"/>
        </w:rPr>
      </w:pPr>
      <w:r w:rsidRPr="00D53AB1">
        <w:rPr>
          <w:rFonts w:eastAsia="MS Mincho"/>
          <w:szCs w:val="20"/>
        </w:rPr>
        <w:t xml:space="preserve">Segmentazione, targeting e posizionamento </w:t>
      </w:r>
    </w:p>
    <w:p w14:paraId="14188391" w14:textId="4D6CEB76" w:rsidR="00656567" w:rsidRPr="00A03999" w:rsidRDefault="00656567" w:rsidP="00D53AB1">
      <w:pPr>
        <w:spacing w:before="120"/>
        <w:rPr>
          <w:szCs w:val="18"/>
        </w:rPr>
      </w:pPr>
      <w:r w:rsidRPr="00A03999">
        <w:rPr>
          <w:szCs w:val="18"/>
        </w:rPr>
        <w:t>MODULO II – Prof.</w:t>
      </w:r>
      <w:r w:rsidR="009B7FC2" w:rsidRPr="00A03999">
        <w:rPr>
          <w:szCs w:val="18"/>
        </w:rPr>
        <w:t>ssa</w:t>
      </w:r>
      <w:r w:rsidRPr="00A03999">
        <w:rPr>
          <w:szCs w:val="18"/>
        </w:rPr>
        <w:t xml:space="preserve"> </w:t>
      </w:r>
      <w:proofErr w:type="spellStart"/>
      <w:r w:rsidRPr="00A03999">
        <w:rPr>
          <w:szCs w:val="18"/>
        </w:rPr>
        <w:t>Piancatelli</w:t>
      </w:r>
      <w:proofErr w:type="spellEnd"/>
    </w:p>
    <w:p w14:paraId="736338E9" w14:textId="04456160" w:rsidR="009C7D0A" w:rsidRPr="00A03999" w:rsidRDefault="00656567" w:rsidP="009B30A6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/>
        <w:rPr>
          <w:rFonts w:eastAsia="Calibri"/>
          <w:szCs w:val="18"/>
          <w:lang w:eastAsia="en-US"/>
        </w:rPr>
      </w:pPr>
      <w:r w:rsidRPr="00A03999">
        <w:rPr>
          <w:i/>
          <w:iCs/>
          <w:noProof/>
          <w:szCs w:val="18"/>
        </w:rPr>
        <w:t xml:space="preserve">Il marketing </w:t>
      </w:r>
      <w:r w:rsidR="009B7FC2" w:rsidRPr="00A03999">
        <w:rPr>
          <w:i/>
          <w:iCs/>
          <w:noProof/>
          <w:szCs w:val="18"/>
        </w:rPr>
        <w:t xml:space="preserve">applicato al mercato dell’arte e </w:t>
      </w:r>
      <w:r w:rsidRPr="00A03999">
        <w:rPr>
          <w:i/>
          <w:iCs/>
          <w:noProof/>
          <w:szCs w:val="18"/>
        </w:rPr>
        <w:t>della cultura</w:t>
      </w:r>
      <w:r w:rsidRPr="00A03999">
        <w:rPr>
          <w:noProof/>
          <w:szCs w:val="18"/>
        </w:rPr>
        <w:t>.</w:t>
      </w:r>
      <w:r w:rsidR="0029604D" w:rsidRPr="00A03999">
        <w:rPr>
          <w:noProof/>
          <w:szCs w:val="18"/>
        </w:rPr>
        <w:t xml:space="preserve"> </w:t>
      </w:r>
      <w:r w:rsidR="009B7FC2" w:rsidRPr="00A03999">
        <w:rPr>
          <w:rFonts w:eastAsia="Calibri"/>
          <w:szCs w:val="18"/>
          <w:lang w:eastAsia="en-US"/>
        </w:rPr>
        <w:t>Le organizzazioni culturali: caratteristiche e classificazione.</w:t>
      </w:r>
      <w:r w:rsidR="0062325B" w:rsidRPr="00A03999">
        <w:rPr>
          <w:rFonts w:eastAsia="Calibri"/>
          <w:szCs w:val="18"/>
          <w:lang w:eastAsia="en-US"/>
        </w:rPr>
        <w:t xml:space="preserve"> </w:t>
      </w:r>
      <w:r w:rsidR="009B7FC2" w:rsidRPr="00A03999">
        <w:rPr>
          <w:rFonts w:eastAsia="Calibri"/>
          <w:szCs w:val="18"/>
          <w:lang w:eastAsia="en-US"/>
        </w:rPr>
        <w:t xml:space="preserve">Il marketing applicato ai prodotti culturali: marketing mix e brand culturale. </w:t>
      </w:r>
    </w:p>
    <w:p w14:paraId="4D28A208" w14:textId="563812C6" w:rsidR="00656567" w:rsidRPr="00A03999" w:rsidRDefault="00F97A12" w:rsidP="009B30A6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 w:hanging="284"/>
        <w:rPr>
          <w:i/>
          <w:iCs/>
          <w:noProof/>
          <w:szCs w:val="18"/>
        </w:rPr>
      </w:pPr>
      <w:r w:rsidRPr="00A03999">
        <w:rPr>
          <w:i/>
          <w:iCs/>
          <w:noProof/>
          <w:szCs w:val="18"/>
        </w:rPr>
        <w:t>La definizione dell’event concept</w:t>
      </w:r>
      <w:r w:rsidR="0029604D" w:rsidRPr="00A03999">
        <w:rPr>
          <w:i/>
          <w:iCs/>
          <w:noProof/>
          <w:szCs w:val="18"/>
        </w:rPr>
        <w:t xml:space="preserve">. </w:t>
      </w:r>
      <w:r w:rsidRPr="00A03999">
        <w:rPr>
          <w:iCs/>
          <w:noProof/>
          <w:szCs w:val="18"/>
        </w:rPr>
        <w:t>Le detreminanti del</w:t>
      </w:r>
      <w:r w:rsidR="009C7D0A" w:rsidRPr="00A03999">
        <w:rPr>
          <w:iCs/>
          <w:noProof/>
          <w:szCs w:val="18"/>
        </w:rPr>
        <w:t xml:space="preserve"> processo di erogazione</w:t>
      </w:r>
      <w:r w:rsidR="009C7D0A" w:rsidRPr="00A03999" w:rsidDel="009B7FC2">
        <w:rPr>
          <w:iCs/>
          <w:noProof/>
          <w:szCs w:val="18"/>
        </w:rPr>
        <w:t xml:space="preserve"> </w:t>
      </w:r>
      <w:r w:rsidRPr="00A03999">
        <w:rPr>
          <w:iCs/>
          <w:noProof/>
          <w:szCs w:val="18"/>
        </w:rPr>
        <w:t xml:space="preserve">di un servizio </w:t>
      </w:r>
      <w:r w:rsidR="009C7D0A" w:rsidRPr="00A03999">
        <w:rPr>
          <w:iCs/>
          <w:noProof/>
          <w:szCs w:val="18"/>
        </w:rPr>
        <w:t>nell’ottica della creazione di un evento culturale</w:t>
      </w:r>
      <w:r w:rsidR="0029604D" w:rsidRPr="00A03999">
        <w:rPr>
          <w:iCs/>
          <w:noProof/>
          <w:szCs w:val="18"/>
        </w:rPr>
        <w:t>.</w:t>
      </w:r>
    </w:p>
    <w:p w14:paraId="21E0808E" w14:textId="1D4D141B" w:rsidR="009C7D0A" w:rsidRPr="00A03999" w:rsidRDefault="009B7FC2" w:rsidP="009B30A6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/>
        <w:rPr>
          <w:rFonts w:eastAsia="MS Mincho"/>
          <w:szCs w:val="18"/>
        </w:rPr>
      </w:pPr>
      <w:r w:rsidRPr="00A03999">
        <w:rPr>
          <w:i/>
          <w:iCs/>
          <w:noProof/>
          <w:szCs w:val="18"/>
        </w:rPr>
        <w:t>Il marketing esperienziale</w:t>
      </w:r>
      <w:r w:rsidR="0029604D" w:rsidRPr="00A03999">
        <w:rPr>
          <w:i/>
          <w:iCs/>
          <w:noProof/>
          <w:szCs w:val="18"/>
        </w:rPr>
        <w:t xml:space="preserve">. </w:t>
      </w:r>
      <w:r w:rsidRPr="00A03999">
        <w:rPr>
          <w:rFonts w:eastAsia="MS Mincho"/>
          <w:szCs w:val="18"/>
        </w:rPr>
        <w:t xml:space="preserve">Il ruolo delle emozioni </w:t>
      </w:r>
      <w:r w:rsidR="009C7D0A" w:rsidRPr="00A03999">
        <w:rPr>
          <w:rFonts w:eastAsia="MS Mincho"/>
          <w:szCs w:val="18"/>
        </w:rPr>
        <w:t xml:space="preserve">e le principali componenti </w:t>
      </w:r>
      <w:r w:rsidRPr="00A03999">
        <w:rPr>
          <w:rFonts w:eastAsia="MS Mincho"/>
          <w:szCs w:val="18"/>
        </w:rPr>
        <w:t>nell’esperienza di consumo artistico e culturale</w:t>
      </w:r>
      <w:r w:rsidR="009C7D0A" w:rsidRPr="00A03999">
        <w:rPr>
          <w:rFonts w:eastAsia="MS Mincho"/>
          <w:szCs w:val="18"/>
        </w:rPr>
        <w:t>.</w:t>
      </w:r>
    </w:p>
    <w:p w14:paraId="2057F62E" w14:textId="7D72D577" w:rsidR="00656567" w:rsidRPr="00A03999" w:rsidRDefault="00656567" w:rsidP="009B30A6">
      <w:pPr>
        <w:pStyle w:val="Paragrafoelenco"/>
        <w:numPr>
          <w:ilvl w:val="0"/>
          <w:numId w:val="5"/>
        </w:numPr>
        <w:tabs>
          <w:tab w:val="clear" w:pos="284"/>
          <w:tab w:val="left" w:pos="0"/>
        </w:tabs>
        <w:ind w:left="360"/>
        <w:rPr>
          <w:iCs/>
          <w:noProof/>
          <w:szCs w:val="18"/>
        </w:rPr>
      </w:pPr>
      <w:r w:rsidRPr="00A03999">
        <w:rPr>
          <w:rFonts w:eastAsia="MS Mincho"/>
          <w:i/>
          <w:szCs w:val="18"/>
        </w:rPr>
        <w:t xml:space="preserve">Logiche e strumenti della comunicazione a supporto della relazione </w:t>
      </w:r>
      <w:r w:rsidR="009B7FC2" w:rsidRPr="00A03999">
        <w:rPr>
          <w:rFonts w:eastAsia="MS Mincho"/>
          <w:i/>
          <w:szCs w:val="18"/>
        </w:rPr>
        <w:t>organizzazione culturale</w:t>
      </w:r>
      <w:r w:rsidRPr="00A03999">
        <w:rPr>
          <w:rFonts w:eastAsia="MS Mincho"/>
          <w:i/>
          <w:szCs w:val="18"/>
        </w:rPr>
        <w:t>-mercato</w:t>
      </w:r>
      <w:r w:rsidR="0029604D" w:rsidRPr="00A03999">
        <w:rPr>
          <w:rFonts w:eastAsia="MS Mincho"/>
          <w:i/>
          <w:szCs w:val="18"/>
        </w:rPr>
        <w:t xml:space="preserve">. </w:t>
      </w:r>
      <w:r w:rsidRPr="00A03999">
        <w:rPr>
          <w:iCs/>
          <w:noProof/>
          <w:szCs w:val="18"/>
        </w:rPr>
        <w:t>Il processo dell’event management e la gestione degli eventi culturali.</w:t>
      </w:r>
    </w:p>
    <w:p w14:paraId="49D4B632" w14:textId="0F6FA76F" w:rsidR="00FD5E16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BIBLIOGRAFIA</w:t>
      </w:r>
      <w:r w:rsidR="00E241AE">
        <w:rPr>
          <w:rStyle w:val="Rimandonotaapidipagina"/>
          <w:b/>
          <w:i/>
          <w:sz w:val="18"/>
        </w:rPr>
        <w:footnoteReference w:id="1"/>
      </w:r>
    </w:p>
    <w:p w14:paraId="5FCEB2F1" w14:textId="77777777" w:rsidR="00897165" w:rsidRPr="00D53AB1" w:rsidRDefault="00897165" w:rsidP="00897165">
      <w:pPr>
        <w:rPr>
          <w:sz w:val="18"/>
          <w:szCs w:val="18"/>
        </w:rPr>
      </w:pPr>
      <w:r w:rsidRPr="00D53AB1">
        <w:rPr>
          <w:sz w:val="18"/>
          <w:szCs w:val="18"/>
        </w:rPr>
        <w:t xml:space="preserve">MODULO I – Prof.ssa </w:t>
      </w:r>
      <w:proofErr w:type="spellStart"/>
      <w:r w:rsidRPr="00D53AB1">
        <w:rPr>
          <w:sz w:val="18"/>
          <w:szCs w:val="18"/>
        </w:rPr>
        <w:t>Tzannis</w:t>
      </w:r>
      <w:proofErr w:type="spellEnd"/>
      <w:r w:rsidRPr="00D53AB1">
        <w:rPr>
          <w:sz w:val="18"/>
          <w:szCs w:val="18"/>
        </w:rPr>
        <w:t xml:space="preserve"> </w:t>
      </w:r>
    </w:p>
    <w:p w14:paraId="17B3B912" w14:textId="77777777" w:rsidR="00897165" w:rsidRPr="00D53AB1" w:rsidRDefault="00897165" w:rsidP="00897165">
      <w:pPr>
        <w:rPr>
          <w:i/>
          <w:sz w:val="18"/>
          <w:szCs w:val="18"/>
        </w:rPr>
      </w:pPr>
      <w:r w:rsidRPr="00D53AB1">
        <w:rPr>
          <w:i/>
          <w:sz w:val="18"/>
          <w:szCs w:val="18"/>
        </w:rPr>
        <w:t xml:space="preserve">Studenti frequentanti e non frequentanti </w:t>
      </w:r>
    </w:p>
    <w:p w14:paraId="5DD4AA55" w14:textId="34F11D1B" w:rsidR="009B30A6" w:rsidRPr="00E241AE" w:rsidRDefault="009B30A6" w:rsidP="00E241AE">
      <w:r w:rsidRPr="00D53AB1">
        <w:rPr>
          <w:sz w:val="18"/>
          <w:szCs w:val="18"/>
        </w:rPr>
        <w:t xml:space="preserve">Kotler P. Armstrong G., Ancarani F., Costabile M., Principi di Marketing, 17° edizione, </w:t>
      </w:r>
      <w:proofErr w:type="spellStart"/>
      <w:r w:rsidRPr="00D53AB1">
        <w:rPr>
          <w:sz w:val="18"/>
          <w:szCs w:val="18"/>
        </w:rPr>
        <w:t>Pearson</w:t>
      </w:r>
      <w:proofErr w:type="spellEnd"/>
      <w:r w:rsidRPr="00D53AB1">
        <w:rPr>
          <w:sz w:val="18"/>
          <w:szCs w:val="18"/>
        </w:rPr>
        <w:t xml:space="preserve">, Milano, 2019 </w:t>
      </w:r>
      <w:r w:rsidR="00E241AE" w:rsidRPr="008443CF">
        <w:rPr>
          <w:i/>
          <w:sz w:val="16"/>
          <w:szCs w:val="16"/>
        </w:rPr>
        <w:t>Acquista da VP</w:t>
      </w:r>
      <w:bookmarkStart w:id="0" w:name="_GoBack"/>
      <w:bookmarkEnd w:id="0"/>
    </w:p>
    <w:p w14:paraId="5E81354A" w14:textId="77777777" w:rsidR="009B30A6" w:rsidRPr="00D53AB1" w:rsidRDefault="009B30A6" w:rsidP="00D53AB1">
      <w:pPr>
        <w:ind w:left="284" w:hanging="284"/>
        <w:rPr>
          <w:sz w:val="18"/>
          <w:szCs w:val="18"/>
        </w:rPr>
      </w:pPr>
      <w:r w:rsidRPr="00D53AB1">
        <w:rPr>
          <w:sz w:val="18"/>
          <w:szCs w:val="18"/>
        </w:rPr>
        <w:t>Capitolo dall’1 al 6 compresi</w:t>
      </w:r>
    </w:p>
    <w:p w14:paraId="6A6482A0" w14:textId="06F0C9FA" w:rsidR="00897165" w:rsidRPr="00D53AB1" w:rsidRDefault="00897165" w:rsidP="00D53AB1">
      <w:pPr>
        <w:ind w:left="284" w:hanging="284"/>
        <w:rPr>
          <w:sz w:val="18"/>
          <w:szCs w:val="18"/>
        </w:rPr>
      </w:pPr>
      <w:r w:rsidRPr="00D53AB1">
        <w:rPr>
          <w:sz w:val="18"/>
          <w:szCs w:val="18"/>
        </w:rPr>
        <w:t xml:space="preserve">Letture, presentazioni PowerPoint, ed eventuale ulteriore materiale didattico reso disponibile sulla piattaforma </w:t>
      </w:r>
      <w:proofErr w:type="spellStart"/>
      <w:r w:rsidRPr="00D53AB1">
        <w:rPr>
          <w:sz w:val="18"/>
          <w:szCs w:val="18"/>
        </w:rPr>
        <w:t>Blackboard</w:t>
      </w:r>
      <w:proofErr w:type="spellEnd"/>
      <w:r w:rsidRPr="00D53AB1">
        <w:rPr>
          <w:sz w:val="18"/>
          <w:szCs w:val="18"/>
        </w:rPr>
        <w:t>.</w:t>
      </w:r>
    </w:p>
    <w:p w14:paraId="66103BD1" w14:textId="77777777" w:rsidR="00897165" w:rsidRPr="00897165" w:rsidRDefault="00897165" w:rsidP="00A03999">
      <w:pPr>
        <w:spacing w:before="120"/>
        <w:rPr>
          <w:sz w:val="18"/>
          <w:szCs w:val="18"/>
        </w:rPr>
      </w:pPr>
      <w:r w:rsidRPr="00897165">
        <w:rPr>
          <w:sz w:val="18"/>
          <w:szCs w:val="18"/>
        </w:rPr>
        <w:lastRenderedPageBreak/>
        <w:t xml:space="preserve">MODULO II – Prof.ssa </w:t>
      </w:r>
      <w:proofErr w:type="spellStart"/>
      <w:r w:rsidRPr="00897165">
        <w:rPr>
          <w:sz w:val="18"/>
          <w:szCs w:val="18"/>
        </w:rPr>
        <w:t>Piancatelli</w:t>
      </w:r>
      <w:proofErr w:type="spellEnd"/>
      <w:r w:rsidRPr="00897165">
        <w:rPr>
          <w:sz w:val="18"/>
          <w:szCs w:val="18"/>
        </w:rPr>
        <w:t xml:space="preserve"> </w:t>
      </w:r>
    </w:p>
    <w:p w14:paraId="17D3BA50" w14:textId="51D5BC1C" w:rsidR="00897165" w:rsidRDefault="00897165" w:rsidP="00D53AB1">
      <w:pPr>
        <w:ind w:left="284" w:hanging="284"/>
        <w:rPr>
          <w:i/>
          <w:sz w:val="18"/>
          <w:szCs w:val="18"/>
        </w:rPr>
      </w:pPr>
      <w:r w:rsidRPr="00897165">
        <w:rPr>
          <w:i/>
          <w:sz w:val="18"/>
          <w:szCs w:val="18"/>
        </w:rPr>
        <w:t>Studenti frequentanti e non frequentanti</w:t>
      </w:r>
    </w:p>
    <w:p w14:paraId="309F4C6E" w14:textId="0E2F1644" w:rsidR="00897165" w:rsidRPr="00897165" w:rsidRDefault="00A03999" w:rsidP="00D53AB1">
      <w:pPr>
        <w:ind w:left="284" w:hanging="284"/>
        <w:rPr>
          <w:sz w:val="18"/>
          <w:szCs w:val="18"/>
        </w:rPr>
      </w:pPr>
      <w:r w:rsidRPr="00897165">
        <w:rPr>
          <w:sz w:val="18"/>
          <w:szCs w:val="18"/>
        </w:rPr>
        <w:t>S. Cherubini</w:t>
      </w:r>
      <w:r w:rsidR="00897165" w:rsidRPr="00897165">
        <w:rPr>
          <w:sz w:val="18"/>
          <w:szCs w:val="18"/>
        </w:rPr>
        <w:t>, Marketing culturale. Prodotti servizi eventi, Franco Angeli, Milano, 2019. (Dal capitolo 5 al capitolo 9)</w:t>
      </w:r>
    </w:p>
    <w:p w14:paraId="206F4E0E" w14:textId="5958C07F" w:rsidR="00DB5831" w:rsidRPr="00897165" w:rsidRDefault="00897165" w:rsidP="00D53AB1">
      <w:pPr>
        <w:ind w:left="284" w:hanging="284"/>
        <w:rPr>
          <w:sz w:val="18"/>
          <w:szCs w:val="18"/>
        </w:rPr>
      </w:pPr>
      <w:r w:rsidRPr="00897165">
        <w:rPr>
          <w:sz w:val="18"/>
          <w:szCs w:val="18"/>
        </w:rPr>
        <w:t xml:space="preserve">Letture, presentazioni PowerPoint, ed eventuale ulteriore materiale didattico reso disponibile sulla piattaforma </w:t>
      </w:r>
      <w:proofErr w:type="spellStart"/>
      <w:r w:rsidRPr="00897165"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>.</w:t>
      </w:r>
    </w:p>
    <w:p w14:paraId="12681845" w14:textId="77777777" w:rsidR="00FD5E16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DIDATTICA DEL CORSO</w:t>
      </w:r>
    </w:p>
    <w:p w14:paraId="7A9B146F" w14:textId="4A109A9B" w:rsidR="009C7D0A" w:rsidRPr="0029604D" w:rsidRDefault="009C7D0A" w:rsidP="00D53AB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9604D">
        <w:rPr>
          <w:rFonts w:ascii="Times New Roman" w:hAnsi="Times New Roman"/>
          <w:szCs w:val="18"/>
        </w:rPr>
        <w:t xml:space="preserve">Lezioni frontali in aula, discussione di case study, testimonianze aziendali, </w:t>
      </w:r>
      <w:r w:rsidR="004D3F82" w:rsidRPr="0029604D">
        <w:rPr>
          <w:rFonts w:ascii="Times New Roman" w:hAnsi="Times New Roman"/>
          <w:spacing w:val="-5"/>
          <w:szCs w:val="18"/>
        </w:rPr>
        <w:t>attività individuali e di gruppo</w:t>
      </w:r>
      <w:r w:rsidR="00CF574C" w:rsidRPr="0029604D">
        <w:rPr>
          <w:rFonts w:ascii="Times New Roman" w:hAnsi="Times New Roman"/>
          <w:spacing w:val="-5"/>
          <w:szCs w:val="18"/>
        </w:rPr>
        <w:t xml:space="preserve">, </w:t>
      </w:r>
      <w:r w:rsidRPr="0029604D">
        <w:rPr>
          <w:rFonts w:ascii="Times New Roman" w:hAnsi="Times New Roman"/>
          <w:szCs w:val="18"/>
        </w:rPr>
        <w:t>e lavori integrativi di approfondimento.</w:t>
      </w:r>
    </w:p>
    <w:p w14:paraId="11CB730D" w14:textId="77777777" w:rsidR="00FD5E16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METODO E CRITERI DI VALUTAZIONE</w:t>
      </w:r>
    </w:p>
    <w:p w14:paraId="364BD298" w14:textId="01B706AE" w:rsidR="004F3C5E" w:rsidRDefault="0062325B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29604D">
        <w:rPr>
          <w:rFonts w:ascii="Times New Roman" w:hAnsi="Times New Roman"/>
          <w:i/>
          <w:iCs/>
          <w:szCs w:val="18"/>
        </w:rPr>
        <w:t>Per gli studenti frequentanti</w:t>
      </w:r>
      <w:r>
        <w:rPr>
          <w:rFonts w:ascii="Times New Roman" w:hAnsi="Times New Roman"/>
          <w:szCs w:val="18"/>
        </w:rPr>
        <w:t xml:space="preserve">: </w:t>
      </w:r>
    </w:p>
    <w:p w14:paraId="29D95CD9" w14:textId="77777777" w:rsidR="000F1CE7" w:rsidRDefault="004F3C5E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szCs w:val="18"/>
        </w:rPr>
        <w:t>L’esame consiste</w:t>
      </w:r>
      <w:r>
        <w:rPr>
          <w:rFonts w:ascii="Times New Roman" w:hAnsi="Times New Roman"/>
          <w:szCs w:val="18"/>
        </w:rPr>
        <w:t>rà</w:t>
      </w:r>
      <w:r w:rsidRPr="0014177E">
        <w:rPr>
          <w:rFonts w:ascii="Times New Roman" w:hAnsi="Times New Roman"/>
          <w:szCs w:val="18"/>
        </w:rPr>
        <w:t xml:space="preserve"> </w:t>
      </w:r>
      <w:r w:rsidR="000F1CE7">
        <w:rPr>
          <w:rFonts w:ascii="Times New Roman" w:hAnsi="Times New Roman"/>
          <w:szCs w:val="18"/>
        </w:rPr>
        <w:t>in due prove parziali relative a ciascun modulo.</w:t>
      </w:r>
    </w:p>
    <w:p w14:paraId="46111341" w14:textId="58FE2B8B" w:rsidR="00F4229A" w:rsidRDefault="00F4229A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Oltre a tali prove scritte, </w:t>
      </w:r>
      <w:r w:rsidR="009B30A6">
        <w:rPr>
          <w:rFonts w:ascii="Times New Roman" w:hAnsi="Times New Roman"/>
          <w:szCs w:val="18"/>
        </w:rPr>
        <w:t>la</w:t>
      </w:r>
      <w:r>
        <w:rPr>
          <w:rFonts w:ascii="Times New Roman" w:hAnsi="Times New Roman"/>
          <w:szCs w:val="18"/>
        </w:rPr>
        <w:t xml:space="preserve"> valutazione </w:t>
      </w:r>
      <w:r w:rsidR="009B30A6">
        <w:rPr>
          <w:rFonts w:ascii="Times New Roman" w:hAnsi="Times New Roman"/>
          <w:szCs w:val="18"/>
        </w:rPr>
        <w:t xml:space="preserve">consisterà in </w:t>
      </w:r>
      <w:r w:rsidRPr="0014177E">
        <w:rPr>
          <w:rFonts w:ascii="Times New Roman" w:hAnsi="Times New Roman"/>
          <w:szCs w:val="18"/>
        </w:rPr>
        <w:t>un group-work</w:t>
      </w:r>
      <w:r>
        <w:rPr>
          <w:rFonts w:ascii="Times New Roman" w:hAnsi="Times New Roman"/>
          <w:szCs w:val="18"/>
        </w:rPr>
        <w:t xml:space="preserve">. </w:t>
      </w:r>
      <w:r w:rsidRPr="0014177E">
        <w:rPr>
          <w:rFonts w:ascii="Times New Roman" w:hAnsi="Times New Roman"/>
          <w:szCs w:val="18"/>
        </w:rPr>
        <w:t>L’obiettivo sarà quello di verificare la capacità degli studenti di lavorare alla stesura di un piano di marketing a supporto della progettazione di un evento culturale</w:t>
      </w:r>
      <w:r w:rsidR="00CF7349">
        <w:rPr>
          <w:rFonts w:ascii="Times New Roman" w:hAnsi="Times New Roman"/>
          <w:szCs w:val="18"/>
        </w:rPr>
        <w:t>.</w:t>
      </w:r>
    </w:p>
    <w:p w14:paraId="1C69540F" w14:textId="366CE476" w:rsidR="00F4229A" w:rsidRDefault="00F4229A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valutazione della prova per frequentanti sarà perta</w:t>
      </w:r>
      <w:r w:rsidR="004E7F64">
        <w:rPr>
          <w:rFonts w:ascii="Times New Roman" w:hAnsi="Times New Roman"/>
          <w:szCs w:val="18"/>
        </w:rPr>
        <w:t>nto costituita da:</w:t>
      </w:r>
      <w:r>
        <w:rPr>
          <w:rFonts w:ascii="Times New Roman" w:hAnsi="Times New Roman"/>
          <w:szCs w:val="18"/>
        </w:rPr>
        <w:t xml:space="preserve"> </w:t>
      </w:r>
    </w:p>
    <w:p w14:paraId="7F88D9F7" w14:textId="09AEC2B9" w:rsidR="00F4229A" w:rsidRDefault="00F4229A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30% voto dello scritto del modulo I</w:t>
      </w:r>
    </w:p>
    <w:p w14:paraId="5599AC08" w14:textId="1070DB99" w:rsidR="00F4229A" w:rsidRDefault="00F4229A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30% voto dello scritto del modulo II. </w:t>
      </w:r>
    </w:p>
    <w:p w14:paraId="04E61F96" w14:textId="75A315A7" w:rsidR="00F4229A" w:rsidRDefault="00F4229A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40% </w:t>
      </w:r>
      <w:r w:rsidR="004E7F64">
        <w:rPr>
          <w:rFonts w:ascii="Times New Roman" w:hAnsi="Times New Roman"/>
          <w:szCs w:val="18"/>
        </w:rPr>
        <w:t>voto del project work.</w:t>
      </w:r>
    </w:p>
    <w:p w14:paraId="47F79375" w14:textId="288C3667" w:rsidR="00FE2B85" w:rsidRDefault="00DD533F" w:rsidP="00A03999">
      <w:pPr>
        <w:pStyle w:val="Testo2"/>
        <w:spacing w:before="120"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Gli scritti saranno suddivisi</w:t>
      </w:r>
      <w:r w:rsidR="000D5D3E" w:rsidRPr="00FE2B85">
        <w:rPr>
          <w:rFonts w:ascii="Times New Roman" w:hAnsi="Times New Roman"/>
          <w:szCs w:val="18"/>
        </w:rPr>
        <w:t xml:space="preserve"> </w:t>
      </w:r>
      <w:r w:rsidR="00CF574C" w:rsidRPr="00FE2B85">
        <w:rPr>
          <w:rFonts w:ascii="Times New Roman" w:hAnsi="Times New Roman"/>
          <w:szCs w:val="18"/>
        </w:rPr>
        <w:t xml:space="preserve">in </w:t>
      </w:r>
      <w:r w:rsidR="00B80227" w:rsidRPr="00FE2B85">
        <w:rPr>
          <w:rFonts w:ascii="Times New Roman" w:hAnsi="Times New Roman"/>
          <w:szCs w:val="18"/>
        </w:rPr>
        <w:t xml:space="preserve">due </w:t>
      </w:r>
      <w:r w:rsidR="00FE2B85">
        <w:rPr>
          <w:rFonts w:ascii="Times New Roman" w:hAnsi="Times New Roman"/>
          <w:szCs w:val="18"/>
        </w:rPr>
        <w:t>momenti</w:t>
      </w:r>
      <w:r w:rsidR="00CF574C" w:rsidRPr="00FE2B85">
        <w:rPr>
          <w:rFonts w:ascii="Times New Roman" w:hAnsi="Times New Roman"/>
          <w:szCs w:val="18"/>
        </w:rPr>
        <w:t xml:space="preserve">: </w:t>
      </w:r>
      <w:r w:rsidR="00FD5E16" w:rsidRPr="00FE2B85">
        <w:rPr>
          <w:rFonts w:ascii="Times New Roman" w:hAnsi="Times New Roman"/>
          <w:szCs w:val="18"/>
        </w:rPr>
        <w:t>una prova intermedia</w:t>
      </w:r>
      <w:r w:rsidR="00FE2B85">
        <w:rPr>
          <w:rFonts w:ascii="Times New Roman" w:hAnsi="Times New Roman"/>
          <w:szCs w:val="18"/>
        </w:rPr>
        <w:t xml:space="preserve"> sulla prima parte del corso</w:t>
      </w:r>
      <w:r w:rsidR="00CF574C" w:rsidRPr="00FE2B85">
        <w:rPr>
          <w:rFonts w:ascii="Times New Roman" w:hAnsi="Times New Roman"/>
          <w:szCs w:val="18"/>
        </w:rPr>
        <w:t>,</w:t>
      </w:r>
      <w:r w:rsidR="00FD5E16" w:rsidRPr="00FE2B85">
        <w:rPr>
          <w:rFonts w:ascii="Times New Roman" w:hAnsi="Times New Roman"/>
          <w:szCs w:val="18"/>
        </w:rPr>
        <w:t xml:space="preserve"> che si terrà secondo il Calendario Accademico</w:t>
      </w:r>
      <w:r w:rsidR="006537F5" w:rsidRPr="00FE2B85">
        <w:rPr>
          <w:rFonts w:ascii="Times New Roman" w:hAnsi="Times New Roman"/>
          <w:szCs w:val="18"/>
        </w:rPr>
        <w:t xml:space="preserve"> previsto per le prove intermedie</w:t>
      </w:r>
      <w:r w:rsidR="00CF574C" w:rsidRPr="00FE2B85">
        <w:rPr>
          <w:rFonts w:ascii="Times New Roman" w:hAnsi="Times New Roman"/>
          <w:szCs w:val="18"/>
        </w:rPr>
        <w:t>; una seconda prova di completamento</w:t>
      </w:r>
      <w:r w:rsidR="00FD5E16" w:rsidRPr="00FE2B85">
        <w:rPr>
          <w:rFonts w:ascii="Times New Roman" w:hAnsi="Times New Roman"/>
          <w:szCs w:val="18"/>
        </w:rPr>
        <w:t xml:space="preserve"> relativa ai contenuti proposti durante la seconda parte del corso</w:t>
      </w:r>
      <w:r w:rsidR="00FE2B85">
        <w:rPr>
          <w:rFonts w:ascii="Times New Roman" w:hAnsi="Times New Roman"/>
          <w:szCs w:val="18"/>
        </w:rPr>
        <w:t xml:space="preserve"> da svolgersi</w:t>
      </w:r>
      <w:r>
        <w:rPr>
          <w:rFonts w:ascii="Times New Roman" w:hAnsi="Times New Roman"/>
          <w:szCs w:val="18"/>
        </w:rPr>
        <w:t xml:space="preserve"> nella prima data prevista</w:t>
      </w:r>
      <w:r w:rsidR="00FE2B85" w:rsidRPr="00FE2B85">
        <w:rPr>
          <w:rFonts w:ascii="Times New Roman" w:hAnsi="Times New Roman"/>
          <w:szCs w:val="18"/>
        </w:rPr>
        <w:t xml:space="preserve"> per le ses</w:t>
      </w:r>
      <w:r>
        <w:rPr>
          <w:rFonts w:ascii="Times New Roman" w:hAnsi="Times New Roman"/>
          <w:szCs w:val="18"/>
        </w:rPr>
        <w:t>sioni ufficiali d’esame (primo appello di giugno</w:t>
      </w:r>
      <w:r w:rsidR="00FE2B85" w:rsidRPr="00FE2B85">
        <w:rPr>
          <w:rFonts w:ascii="Times New Roman" w:hAnsi="Times New Roman"/>
          <w:szCs w:val="18"/>
        </w:rPr>
        <w:t>)</w:t>
      </w:r>
      <w:r w:rsidR="00FE2B85">
        <w:rPr>
          <w:rFonts w:ascii="Times New Roman" w:hAnsi="Times New Roman"/>
          <w:szCs w:val="18"/>
        </w:rPr>
        <w:t xml:space="preserve">. </w:t>
      </w:r>
      <w:r>
        <w:rPr>
          <w:rFonts w:ascii="Times New Roman" w:hAnsi="Times New Roman"/>
          <w:szCs w:val="18"/>
        </w:rPr>
        <w:t>Se</w:t>
      </w:r>
      <w:r w:rsidR="00FE2B85">
        <w:rPr>
          <w:rFonts w:ascii="Times New Roman" w:hAnsi="Times New Roman"/>
          <w:szCs w:val="18"/>
        </w:rPr>
        <w:t xml:space="preserve"> non si supera</w:t>
      </w:r>
      <w:r w:rsidR="006F113B">
        <w:rPr>
          <w:rFonts w:ascii="Times New Roman" w:hAnsi="Times New Roman"/>
          <w:szCs w:val="18"/>
        </w:rPr>
        <w:t xml:space="preserve"> una</w:t>
      </w:r>
      <w:r>
        <w:rPr>
          <w:rFonts w:ascii="Times New Roman" w:hAnsi="Times New Roman"/>
          <w:szCs w:val="18"/>
        </w:rPr>
        <w:t xml:space="preserve"> delle due prove intremedie o </w:t>
      </w:r>
      <w:r w:rsidR="00FE2B85">
        <w:rPr>
          <w:rFonts w:ascii="Times New Roman" w:hAnsi="Times New Roman"/>
          <w:szCs w:val="18"/>
        </w:rPr>
        <w:t>si rifiuta il voto, le due parti di esame scritte a</w:t>
      </w:r>
      <w:r>
        <w:rPr>
          <w:rFonts w:ascii="Times New Roman" w:hAnsi="Times New Roman"/>
          <w:szCs w:val="18"/>
        </w:rPr>
        <w:t>ndranno ridare ex novo entrambe nella modalità non frequentante.</w:t>
      </w:r>
    </w:p>
    <w:p w14:paraId="754A256D" w14:textId="44F8E0BC" w:rsidR="00FE2B85" w:rsidRDefault="00330E40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Per quanto riguarda i</w:t>
      </w:r>
      <w:r w:rsidR="00FE2B85" w:rsidRPr="00D01C96">
        <w:rPr>
          <w:rFonts w:ascii="Times New Roman" w:hAnsi="Times New Roman"/>
          <w:szCs w:val="18"/>
        </w:rPr>
        <w:t>l project work</w:t>
      </w:r>
      <w:r w:rsidR="00DD533F">
        <w:rPr>
          <w:rFonts w:ascii="Times New Roman" w:hAnsi="Times New Roman"/>
          <w:szCs w:val="18"/>
        </w:rPr>
        <w:t xml:space="preserve">, </w:t>
      </w:r>
      <w:r w:rsidR="00FE2B85" w:rsidRPr="00D01C96">
        <w:rPr>
          <w:rFonts w:ascii="Times New Roman" w:hAnsi="Times New Roman"/>
          <w:szCs w:val="18"/>
        </w:rPr>
        <w:t xml:space="preserve">sarà presentato e discusso </w:t>
      </w:r>
      <w:r>
        <w:rPr>
          <w:rFonts w:ascii="Times New Roman" w:hAnsi="Times New Roman"/>
          <w:szCs w:val="18"/>
        </w:rPr>
        <w:t xml:space="preserve">(per tutti i gruppi) </w:t>
      </w:r>
      <w:r w:rsidR="006F113B">
        <w:rPr>
          <w:rFonts w:ascii="Times New Roman" w:hAnsi="Times New Roman"/>
          <w:szCs w:val="18"/>
        </w:rPr>
        <w:t>in aula</w:t>
      </w:r>
      <w:r w:rsidR="00FE2B85" w:rsidRPr="00D01C96">
        <w:rPr>
          <w:rFonts w:ascii="Times New Roman" w:hAnsi="Times New Roman"/>
          <w:szCs w:val="18"/>
        </w:rPr>
        <w:t>. Le indicazioni di dettaglio per quanto riguarda il brief del progetto e le sue</w:t>
      </w:r>
      <w:r w:rsidR="00FE2B85">
        <w:rPr>
          <w:rFonts w:ascii="Times New Roman" w:hAnsi="Times New Roman"/>
          <w:szCs w:val="18"/>
        </w:rPr>
        <w:t xml:space="preserve"> modalità di svolgimento verranno presentate in aula e riportate in Blackboard</w:t>
      </w:r>
      <w:r>
        <w:rPr>
          <w:rFonts w:ascii="Times New Roman" w:hAnsi="Times New Roman"/>
          <w:szCs w:val="18"/>
        </w:rPr>
        <w:t>.</w:t>
      </w:r>
    </w:p>
    <w:p w14:paraId="27150B19" w14:textId="3B066982" w:rsidR="00C103C6" w:rsidRPr="0029604D" w:rsidRDefault="004E7F64" w:rsidP="00A03999">
      <w:pPr>
        <w:pStyle w:val="Testo2"/>
        <w:spacing w:before="120" w:line="240" w:lineRule="exact"/>
        <w:ind w:firstLine="0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i/>
          <w:iCs/>
          <w:szCs w:val="18"/>
        </w:rPr>
        <w:t xml:space="preserve">Per gli studenti </w:t>
      </w:r>
      <w:r>
        <w:rPr>
          <w:rFonts w:ascii="Times New Roman" w:hAnsi="Times New Roman"/>
          <w:i/>
          <w:iCs/>
          <w:szCs w:val="18"/>
        </w:rPr>
        <w:t xml:space="preserve">non </w:t>
      </w:r>
      <w:r w:rsidRPr="0014177E">
        <w:rPr>
          <w:rFonts w:ascii="Times New Roman" w:hAnsi="Times New Roman"/>
          <w:i/>
          <w:iCs/>
          <w:szCs w:val="18"/>
        </w:rPr>
        <w:t>frequentanti</w:t>
      </w:r>
    </w:p>
    <w:p w14:paraId="348966D7" w14:textId="2177CF42" w:rsidR="004E7F64" w:rsidRDefault="004E7F64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szCs w:val="18"/>
        </w:rPr>
        <w:t>L’esame consiste</w:t>
      </w:r>
      <w:r>
        <w:rPr>
          <w:rFonts w:ascii="Times New Roman" w:hAnsi="Times New Roman"/>
          <w:szCs w:val="18"/>
        </w:rPr>
        <w:t>rà</w:t>
      </w:r>
      <w:r w:rsidRPr="0014177E">
        <w:rPr>
          <w:rFonts w:ascii="Times New Roman" w:hAnsi="Times New Roman"/>
          <w:szCs w:val="18"/>
        </w:rPr>
        <w:t xml:space="preserve"> in una prova scritta composta da una serie articolata di domande</w:t>
      </w:r>
      <w:r>
        <w:rPr>
          <w:rFonts w:ascii="Times New Roman" w:hAnsi="Times New Roman"/>
          <w:szCs w:val="18"/>
        </w:rPr>
        <w:t xml:space="preserve"> che verteranno in egual misura su entrambe i moduli del corso. L’obiettivo sarà quello di </w:t>
      </w:r>
      <w:r w:rsidRPr="0014177E">
        <w:rPr>
          <w:rFonts w:ascii="Times New Roman" w:hAnsi="Times New Roman"/>
          <w:szCs w:val="18"/>
        </w:rPr>
        <w:t xml:space="preserve">verificare la comprensione </w:t>
      </w:r>
      <w:r>
        <w:rPr>
          <w:rFonts w:ascii="Times New Roman" w:hAnsi="Times New Roman"/>
          <w:szCs w:val="18"/>
        </w:rPr>
        <w:t xml:space="preserve">dei modelli proposti e la capacità di applicare </w:t>
      </w:r>
      <w:r w:rsidRPr="0014177E">
        <w:rPr>
          <w:rFonts w:ascii="Times New Roman" w:hAnsi="Times New Roman"/>
          <w:szCs w:val="18"/>
        </w:rPr>
        <w:t>i principi di marketing al contesto culturale</w:t>
      </w:r>
      <w:r>
        <w:rPr>
          <w:rFonts w:ascii="Times New Roman" w:hAnsi="Times New Roman"/>
          <w:szCs w:val="18"/>
        </w:rPr>
        <w:t xml:space="preserve">. </w:t>
      </w:r>
    </w:p>
    <w:p w14:paraId="484293C5" w14:textId="5922457E" w:rsidR="0029604D" w:rsidRDefault="0029604D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valutazione della prova per non frequentanti sarà pertanto costituita da: </w:t>
      </w:r>
    </w:p>
    <w:p w14:paraId="3D2BDA43" w14:textId="6FFB8C8F" w:rsidR="0029604D" w:rsidRDefault="0029604D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50% voto dello scritto del modulo I</w:t>
      </w:r>
    </w:p>
    <w:p w14:paraId="5661132E" w14:textId="254A9F71" w:rsidR="0029604D" w:rsidRDefault="0029604D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50% voto dello scritto del modulo II. </w:t>
      </w:r>
    </w:p>
    <w:p w14:paraId="7A3A07F6" w14:textId="524D3D4C" w:rsidR="0029604D" w:rsidRDefault="0029604D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 xml:space="preserve">Le prove scritte </w:t>
      </w:r>
      <w:r w:rsidRPr="0014177E">
        <w:rPr>
          <w:rFonts w:ascii="Times New Roman" w:hAnsi="Times New Roman"/>
          <w:szCs w:val="18"/>
        </w:rPr>
        <w:t>dovr</w:t>
      </w:r>
      <w:r>
        <w:rPr>
          <w:rFonts w:ascii="Times New Roman" w:hAnsi="Times New Roman"/>
          <w:szCs w:val="18"/>
        </w:rPr>
        <w:t>anno</w:t>
      </w:r>
      <w:r w:rsidRPr="0014177E">
        <w:rPr>
          <w:rFonts w:ascii="Times New Roman" w:hAnsi="Times New Roman"/>
          <w:szCs w:val="18"/>
        </w:rPr>
        <w:t xml:space="preserve"> essere sostenut</w:t>
      </w:r>
      <w:r>
        <w:rPr>
          <w:rFonts w:ascii="Times New Roman" w:hAnsi="Times New Roman"/>
          <w:szCs w:val="18"/>
        </w:rPr>
        <w:t>e</w:t>
      </w:r>
      <w:r w:rsidRPr="0014177E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entrambe </w:t>
      </w:r>
      <w:r w:rsidRPr="0014177E">
        <w:rPr>
          <w:rFonts w:ascii="Times New Roman" w:hAnsi="Times New Roman"/>
          <w:szCs w:val="18"/>
        </w:rPr>
        <w:t>nell</w:t>
      </w:r>
      <w:r>
        <w:rPr>
          <w:rFonts w:ascii="Times New Roman" w:hAnsi="Times New Roman"/>
          <w:szCs w:val="18"/>
        </w:rPr>
        <w:t>a medesima data e nelle</w:t>
      </w:r>
      <w:r w:rsidRPr="0014177E">
        <w:rPr>
          <w:rFonts w:ascii="Times New Roman" w:hAnsi="Times New Roman"/>
          <w:szCs w:val="18"/>
        </w:rPr>
        <w:t xml:space="preserve"> date previste per le sessioni </w:t>
      </w:r>
      <w:r>
        <w:rPr>
          <w:rFonts w:ascii="Times New Roman" w:hAnsi="Times New Roman"/>
          <w:szCs w:val="18"/>
        </w:rPr>
        <w:t xml:space="preserve">ufficiali </w:t>
      </w:r>
      <w:r w:rsidRPr="0014177E">
        <w:rPr>
          <w:rFonts w:ascii="Times New Roman" w:hAnsi="Times New Roman"/>
          <w:szCs w:val="18"/>
        </w:rPr>
        <w:t>d’esame</w:t>
      </w:r>
      <w:r>
        <w:rPr>
          <w:rFonts w:ascii="Times New Roman" w:hAnsi="Times New Roman"/>
          <w:szCs w:val="18"/>
        </w:rPr>
        <w:t xml:space="preserve"> (appelli da giugno in avanti) Non sarà possibile dividere le due parti dell’esame, non sono previsti salti di appello, ma non sarà possibile richiedere un orale integrativo.</w:t>
      </w:r>
    </w:p>
    <w:p w14:paraId="6040FB59" w14:textId="77777777" w:rsidR="00FD5E16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AVVERTENZE E PREREQUISITI</w:t>
      </w:r>
    </w:p>
    <w:p w14:paraId="3CADED71" w14:textId="11076F15" w:rsidR="009C7D0A" w:rsidRPr="0029604D" w:rsidRDefault="009C7D0A" w:rsidP="00412A4B">
      <w:pPr>
        <w:tabs>
          <w:tab w:val="clear" w:pos="284"/>
        </w:tabs>
        <w:rPr>
          <w:noProof/>
          <w:sz w:val="18"/>
          <w:szCs w:val="18"/>
        </w:rPr>
      </w:pPr>
      <w:r w:rsidRPr="0029604D">
        <w:rPr>
          <w:i/>
          <w:noProof/>
          <w:sz w:val="18"/>
          <w:szCs w:val="18"/>
        </w:rPr>
        <w:t>Blackboard</w:t>
      </w:r>
      <w:r w:rsidRPr="0029604D">
        <w:rPr>
          <w:noProof/>
          <w:sz w:val="18"/>
          <w:szCs w:val="18"/>
        </w:rPr>
        <w:t xml:space="preserve"> rappresenterà il supporto didattico e operativo del corso su cui sarà pubblicato il materiale didattico (dispense, slide, etc.). Si raccomanda, anche in caso di mancata frequenza, di provvedere al proprio inserimento nell’aula virtuale di </w:t>
      </w:r>
      <w:r w:rsidRPr="0029604D">
        <w:rPr>
          <w:i/>
          <w:noProof/>
          <w:sz w:val="18"/>
          <w:szCs w:val="18"/>
        </w:rPr>
        <w:t>Blackboard</w:t>
      </w:r>
      <w:r w:rsidRPr="0029604D">
        <w:rPr>
          <w:noProof/>
          <w:sz w:val="18"/>
          <w:szCs w:val="18"/>
        </w:rPr>
        <w:t>.</w:t>
      </w:r>
    </w:p>
    <w:p w14:paraId="55D9575C" w14:textId="2865C787" w:rsidR="00FD5E16" w:rsidRPr="0029604D" w:rsidRDefault="00FD5E16" w:rsidP="00412A4B">
      <w:pPr>
        <w:tabs>
          <w:tab w:val="clear" w:pos="284"/>
        </w:tabs>
        <w:rPr>
          <w:noProof/>
          <w:sz w:val="18"/>
          <w:szCs w:val="18"/>
        </w:rPr>
      </w:pPr>
      <w:r w:rsidRPr="0029604D">
        <w:rPr>
          <w:noProof/>
          <w:sz w:val="18"/>
          <w:szCs w:val="18"/>
        </w:rPr>
        <w:t>Nelle pagine personali dei docenti sono indicati gli orari di ricevimento e la modalità di richiesta tesi in marketing.</w:t>
      </w:r>
    </w:p>
    <w:p w14:paraId="20F781B8" w14:textId="311C7403" w:rsidR="004D3F82" w:rsidRPr="0029604D" w:rsidRDefault="000D5D3E" w:rsidP="00412A4B">
      <w:pPr>
        <w:tabs>
          <w:tab w:val="clear" w:pos="284"/>
        </w:tabs>
        <w:rPr>
          <w:sz w:val="18"/>
          <w:szCs w:val="18"/>
        </w:rPr>
      </w:pPr>
      <w:r w:rsidRPr="0029604D">
        <w:rPr>
          <w:noProof/>
          <w:sz w:val="18"/>
          <w:szCs w:val="18"/>
        </w:rPr>
        <w:t>Qualora l’emergenza sanitaria dovesse protrarsi, sia l’attività didattica, sia le forme di controllo dell’apprendimento saranno assicurati “in remoto”, attraverso la piattaforma BlackBoard di Ateneo, la piattaforma Microsoft Teams e le altre previste e comunicate in avvio di corso.</w:t>
      </w:r>
    </w:p>
    <w:sectPr w:rsidR="004D3F82" w:rsidRPr="002960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52CA2" w14:textId="77777777" w:rsidR="00515043" w:rsidRDefault="00515043" w:rsidP="00FD5E16">
      <w:pPr>
        <w:spacing w:line="240" w:lineRule="auto"/>
      </w:pPr>
      <w:r>
        <w:separator/>
      </w:r>
    </w:p>
  </w:endnote>
  <w:endnote w:type="continuationSeparator" w:id="0">
    <w:p w14:paraId="69F9330C" w14:textId="77777777" w:rsidR="00515043" w:rsidRDefault="00515043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70DC" w14:textId="77777777" w:rsidR="00515043" w:rsidRDefault="00515043" w:rsidP="00FD5E16">
      <w:pPr>
        <w:spacing w:line="240" w:lineRule="auto"/>
      </w:pPr>
      <w:r>
        <w:separator/>
      </w:r>
    </w:p>
  </w:footnote>
  <w:footnote w:type="continuationSeparator" w:id="0">
    <w:p w14:paraId="32CFDD2B" w14:textId="77777777" w:rsidR="00515043" w:rsidRDefault="00515043" w:rsidP="00FD5E16">
      <w:pPr>
        <w:spacing w:line="240" w:lineRule="auto"/>
      </w:pPr>
      <w:r>
        <w:continuationSeparator/>
      </w:r>
    </w:p>
  </w:footnote>
  <w:footnote w:id="1">
    <w:p w14:paraId="7D4E3D42" w14:textId="77777777" w:rsidR="00E241AE" w:rsidRDefault="00E241AE" w:rsidP="00E241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97705F8" w14:textId="32C9114A" w:rsidR="00E241AE" w:rsidRDefault="00E241A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73"/>
    <w:multiLevelType w:val="hybridMultilevel"/>
    <w:tmpl w:val="B0960BFA"/>
    <w:lvl w:ilvl="0" w:tplc="9DCAFE2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9413E37"/>
    <w:multiLevelType w:val="hybridMultilevel"/>
    <w:tmpl w:val="02086AF8"/>
    <w:lvl w:ilvl="0" w:tplc="9DCAFE2A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624E"/>
    <w:multiLevelType w:val="hybridMultilevel"/>
    <w:tmpl w:val="CFAEF3B2"/>
    <w:lvl w:ilvl="0" w:tplc="E58A7F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80739"/>
    <w:multiLevelType w:val="hybridMultilevel"/>
    <w:tmpl w:val="9342B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7" w:hanging="360"/>
      </w:pPr>
    </w:lvl>
    <w:lvl w:ilvl="2" w:tplc="0410001B" w:tentative="1">
      <w:start w:val="1"/>
      <w:numFmt w:val="lowerRoman"/>
      <w:lvlText w:val="%3."/>
      <w:lvlJc w:val="right"/>
      <w:pPr>
        <w:ind w:left="2017" w:hanging="180"/>
      </w:pPr>
    </w:lvl>
    <w:lvl w:ilvl="3" w:tplc="0410000F" w:tentative="1">
      <w:start w:val="1"/>
      <w:numFmt w:val="decimal"/>
      <w:lvlText w:val="%4."/>
      <w:lvlJc w:val="left"/>
      <w:pPr>
        <w:ind w:left="2737" w:hanging="360"/>
      </w:pPr>
    </w:lvl>
    <w:lvl w:ilvl="4" w:tplc="04100019" w:tentative="1">
      <w:start w:val="1"/>
      <w:numFmt w:val="lowerLetter"/>
      <w:lvlText w:val="%5."/>
      <w:lvlJc w:val="left"/>
      <w:pPr>
        <w:ind w:left="3457" w:hanging="360"/>
      </w:pPr>
    </w:lvl>
    <w:lvl w:ilvl="5" w:tplc="0410001B" w:tentative="1">
      <w:start w:val="1"/>
      <w:numFmt w:val="lowerRoman"/>
      <w:lvlText w:val="%6."/>
      <w:lvlJc w:val="right"/>
      <w:pPr>
        <w:ind w:left="4177" w:hanging="180"/>
      </w:pPr>
    </w:lvl>
    <w:lvl w:ilvl="6" w:tplc="0410000F" w:tentative="1">
      <w:start w:val="1"/>
      <w:numFmt w:val="decimal"/>
      <w:lvlText w:val="%7."/>
      <w:lvlJc w:val="left"/>
      <w:pPr>
        <w:ind w:left="4897" w:hanging="360"/>
      </w:pPr>
    </w:lvl>
    <w:lvl w:ilvl="7" w:tplc="04100019" w:tentative="1">
      <w:start w:val="1"/>
      <w:numFmt w:val="lowerLetter"/>
      <w:lvlText w:val="%8."/>
      <w:lvlJc w:val="left"/>
      <w:pPr>
        <w:ind w:left="5617" w:hanging="360"/>
      </w:pPr>
    </w:lvl>
    <w:lvl w:ilvl="8" w:tplc="0410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66CF6E95"/>
    <w:multiLevelType w:val="hybridMultilevel"/>
    <w:tmpl w:val="53FC6B0C"/>
    <w:lvl w:ilvl="0" w:tplc="9DCAFE2A">
      <w:start w:val="19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4"/>
    <w:rsid w:val="000100C4"/>
    <w:rsid w:val="000A420E"/>
    <w:rsid w:val="000D5D3E"/>
    <w:rsid w:val="000F1CE7"/>
    <w:rsid w:val="00187B99"/>
    <w:rsid w:val="002014DD"/>
    <w:rsid w:val="0029604D"/>
    <w:rsid w:val="002D5E17"/>
    <w:rsid w:val="00330E40"/>
    <w:rsid w:val="0038459E"/>
    <w:rsid w:val="003919ED"/>
    <w:rsid w:val="003D7124"/>
    <w:rsid w:val="00412A4B"/>
    <w:rsid w:val="004C3A94"/>
    <w:rsid w:val="004D1217"/>
    <w:rsid w:val="004D3F82"/>
    <w:rsid w:val="004D6008"/>
    <w:rsid w:val="004E6B91"/>
    <w:rsid w:val="004E7F64"/>
    <w:rsid w:val="004F3C5E"/>
    <w:rsid w:val="00507DF1"/>
    <w:rsid w:val="00511F94"/>
    <w:rsid w:val="00515043"/>
    <w:rsid w:val="00574E6E"/>
    <w:rsid w:val="0062325B"/>
    <w:rsid w:val="00630362"/>
    <w:rsid w:val="00632C51"/>
    <w:rsid w:val="00640794"/>
    <w:rsid w:val="006537F5"/>
    <w:rsid w:val="00656449"/>
    <w:rsid w:val="00656567"/>
    <w:rsid w:val="006F113B"/>
    <w:rsid w:val="006F1772"/>
    <w:rsid w:val="00706FEC"/>
    <w:rsid w:val="00751B16"/>
    <w:rsid w:val="00876CA2"/>
    <w:rsid w:val="008942E7"/>
    <w:rsid w:val="00897165"/>
    <w:rsid w:val="008A1204"/>
    <w:rsid w:val="008D260A"/>
    <w:rsid w:val="008D4483"/>
    <w:rsid w:val="00900CCA"/>
    <w:rsid w:val="00924B77"/>
    <w:rsid w:val="00927571"/>
    <w:rsid w:val="00940DA2"/>
    <w:rsid w:val="009B30A6"/>
    <w:rsid w:val="009B7FC2"/>
    <w:rsid w:val="009C7D0A"/>
    <w:rsid w:val="009E055C"/>
    <w:rsid w:val="00A03999"/>
    <w:rsid w:val="00A334ED"/>
    <w:rsid w:val="00A74F6F"/>
    <w:rsid w:val="00AA7034"/>
    <w:rsid w:val="00AD7557"/>
    <w:rsid w:val="00AD7CE8"/>
    <w:rsid w:val="00B50C5D"/>
    <w:rsid w:val="00B51253"/>
    <w:rsid w:val="00B525CC"/>
    <w:rsid w:val="00B740AC"/>
    <w:rsid w:val="00B80227"/>
    <w:rsid w:val="00BB0B79"/>
    <w:rsid w:val="00BC6DAB"/>
    <w:rsid w:val="00C103C6"/>
    <w:rsid w:val="00C44C24"/>
    <w:rsid w:val="00C96CBB"/>
    <w:rsid w:val="00CF574C"/>
    <w:rsid w:val="00CF7349"/>
    <w:rsid w:val="00CF78EF"/>
    <w:rsid w:val="00D01C96"/>
    <w:rsid w:val="00D25E91"/>
    <w:rsid w:val="00D404F2"/>
    <w:rsid w:val="00D53AB1"/>
    <w:rsid w:val="00DB5831"/>
    <w:rsid w:val="00DD533F"/>
    <w:rsid w:val="00E241AE"/>
    <w:rsid w:val="00E607E6"/>
    <w:rsid w:val="00E860B8"/>
    <w:rsid w:val="00F300B7"/>
    <w:rsid w:val="00F4229A"/>
    <w:rsid w:val="00F6677E"/>
    <w:rsid w:val="00F97A12"/>
    <w:rsid w:val="00FC6D0B"/>
    <w:rsid w:val="00FD5E16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C7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C7D0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7D0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C7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C7D0A"/>
    <w:rPr>
      <w:b/>
      <w:bCs/>
    </w:rPr>
  </w:style>
  <w:style w:type="paragraph" w:styleId="Revisione">
    <w:name w:val="Revision"/>
    <w:hidden/>
    <w:uiPriority w:val="99"/>
    <w:semiHidden/>
    <w:rsid w:val="000F1CE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C7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C7D0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7D0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C7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C7D0A"/>
    <w:rPr>
      <w:b/>
      <w:bCs/>
    </w:rPr>
  </w:style>
  <w:style w:type="paragraph" w:styleId="Revisione">
    <w:name w:val="Revision"/>
    <w:hidden/>
    <w:uiPriority w:val="99"/>
    <w:semiHidden/>
    <w:rsid w:val="000F1CE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8925-98C3-4080-B6CD-EA30A31C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4</Pages>
  <Words>1013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2022-05-23T06:51:00Z</dcterms:created>
  <dcterms:modified xsi:type="dcterms:W3CDTF">2022-09-01T09:38:00Z</dcterms:modified>
</cp:coreProperties>
</file>