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2657" w14:textId="77777777" w:rsidR="00932773" w:rsidRPr="0092248E" w:rsidRDefault="00932773" w:rsidP="00C364E8">
      <w:pPr>
        <w:pStyle w:val="Titolo1"/>
        <w:spacing w:before="0"/>
      </w:pPr>
      <w:r w:rsidRPr="0092248E">
        <w:t>Diritto processuale penale</w:t>
      </w:r>
    </w:p>
    <w:p w14:paraId="69BDA30E" w14:textId="46FAFFC2" w:rsidR="00932773" w:rsidRPr="0092248E" w:rsidRDefault="00881ADC" w:rsidP="00932773">
      <w:pPr>
        <w:pStyle w:val="Titolo2"/>
      </w:pPr>
      <w:r>
        <w:t xml:space="preserve">Gr: A-K: </w:t>
      </w:r>
      <w:r w:rsidR="002A3C13">
        <w:t xml:space="preserve">Prof. Gianluca Varraso </w:t>
      </w:r>
    </w:p>
    <w:p w14:paraId="0E7C1AE0" w14:textId="6D9762E6" w:rsidR="001F4BC5" w:rsidRPr="001F4BC5" w:rsidRDefault="001F4BC5" w:rsidP="001F4BC5">
      <w:pPr>
        <w:spacing w:before="120"/>
        <w:rPr>
          <w:i/>
          <w:iCs/>
        </w:rPr>
      </w:pPr>
      <w:r w:rsidRPr="001F4BC5">
        <w:rPr>
          <w:i/>
          <w:iCs/>
        </w:rPr>
        <w:t>Gr. A-K: Prof. Gianluca Varraso</w:t>
      </w:r>
    </w:p>
    <w:p w14:paraId="1FED7C89" w14:textId="01074203" w:rsidR="00C364E8" w:rsidRPr="00C364E8" w:rsidRDefault="00C364E8" w:rsidP="00C364E8">
      <w:pPr>
        <w:spacing w:before="240" w:after="120"/>
        <w:rPr>
          <w:b/>
          <w:i/>
          <w:sz w:val="18"/>
        </w:rPr>
      </w:pPr>
      <w:r w:rsidRPr="00C364E8">
        <w:rPr>
          <w:b/>
          <w:i/>
          <w:sz w:val="18"/>
        </w:rPr>
        <w:t>OBIETTIVO DEL CORSO E RISULTATI DI APPRENDIMENTO ATTESI</w:t>
      </w:r>
    </w:p>
    <w:p w14:paraId="74CF4C90" w14:textId="77777777" w:rsidR="00C364E8" w:rsidRPr="00C364E8" w:rsidRDefault="00C364E8" w:rsidP="00C364E8">
      <w:pPr>
        <w:rPr>
          <w:rFonts w:ascii="Times" w:hAnsi="Times" w:cs="Times"/>
        </w:rPr>
      </w:pPr>
      <w:r w:rsidRPr="00C364E8">
        <w:rPr>
          <w:rFonts w:ascii="Times" w:hAnsi="Times" w:cs="Times"/>
        </w:rPr>
        <w:t>Il corso si propone di fornire agli studenti un’analisi generale dei modelli processuali, al fine di comprendere nella sua completezza la disciplina del procedimento penale, dall’acquisizione della notizia di reato alla fase esecutiva, in stretta connessione con le dinamiche transnazionali del crimine e le nuove prospettive della responsabilità punitiva degli enti. Al termine del corso, lo studente sarà in grado: di orientarsi nell’analisi sistematica e ragionata della statica e della dinamica del procedimento penale, apprezzando le implicazioni sulle fonti ordinarie della giurisprudenza sovranazionale e costituzionale; di elaborare in autonomia valutazioni critiche sulle soluzioni prospettate alle questioni, anche pratico-applicative, oggetto di analisi durante le lezioni.</w:t>
      </w:r>
    </w:p>
    <w:p w14:paraId="4FB92460" w14:textId="77777777" w:rsidR="00C364E8" w:rsidRPr="00C364E8" w:rsidRDefault="00C364E8" w:rsidP="00C364E8">
      <w:pPr>
        <w:spacing w:before="240" w:after="120"/>
        <w:rPr>
          <w:b/>
          <w:i/>
          <w:sz w:val="18"/>
        </w:rPr>
      </w:pPr>
      <w:r w:rsidRPr="00C364E8">
        <w:rPr>
          <w:b/>
          <w:i/>
          <w:sz w:val="18"/>
        </w:rPr>
        <w:t>PROGRAMMA DEL CORSO</w:t>
      </w:r>
    </w:p>
    <w:p w14:paraId="0CB55EA7" w14:textId="14A39C4C" w:rsidR="00C364E8" w:rsidRPr="00C364E8" w:rsidRDefault="00AF398B" w:rsidP="00C364E8">
      <w:pPr>
        <w:rPr>
          <w:rFonts w:ascii="Times" w:hAnsi="Times" w:cs="Times"/>
        </w:rPr>
      </w:pPr>
      <w:r>
        <w:rPr>
          <w:rFonts w:ascii="Times" w:hAnsi="Times" w:cs="Times"/>
        </w:rPr>
        <w:t xml:space="preserve">Per gli studenti </w:t>
      </w:r>
      <w:r w:rsidRPr="00D23E12">
        <w:rPr>
          <w:rFonts w:ascii="Times" w:hAnsi="Times" w:cs="Times"/>
          <w:i/>
        </w:rPr>
        <w:t>frequentanti</w:t>
      </w:r>
      <w:r>
        <w:rPr>
          <w:rFonts w:ascii="Times" w:hAnsi="Times" w:cs="Times"/>
        </w:rPr>
        <w:t>, i</w:t>
      </w:r>
      <w:r w:rsidR="00C364E8" w:rsidRPr="00C364E8">
        <w:rPr>
          <w:rFonts w:ascii="Times" w:hAnsi="Times" w:cs="Times"/>
        </w:rPr>
        <w:t>l corso sarà costituito da lezioni dedicate all’esame delle problematiche più significative e delle relative soluzioni normative e giurisprudenziali sui seguenti argomenti:</w:t>
      </w:r>
    </w:p>
    <w:p w14:paraId="24FCF61A" w14:textId="5D5197EC"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r>
      <w:r w:rsidR="00D546CA">
        <w:rPr>
          <w:rFonts w:ascii="Times" w:hAnsi="Times" w:cs="Times"/>
        </w:rPr>
        <w:t>il sistema del</w:t>
      </w:r>
      <w:r w:rsidRPr="00C364E8">
        <w:rPr>
          <w:rFonts w:ascii="Times" w:hAnsi="Times" w:cs="Times"/>
        </w:rPr>
        <w:t>le fonti del diritto processuale penale;</w:t>
      </w:r>
    </w:p>
    <w:p w14:paraId="1779F739"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la legge processuale penale nel tempo e nello spazio;</w:t>
      </w:r>
    </w:p>
    <w:p w14:paraId="3D0E0CE4"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l’organizzazione dell’ordinamento giudiziario;</w:t>
      </w:r>
    </w:p>
    <w:p w14:paraId="5F114FBB"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soggetti del processo e gli oggetti della giurisdizione processuale;</w:t>
      </w:r>
    </w:p>
    <w:p w14:paraId="362CAF06"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gli atti del processo e del procedimento;</w:t>
      </w:r>
    </w:p>
    <w:p w14:paraId="6B4336D8"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il sistema delle prove;</w:t>
      </w:r>
    </w:p>
    <w:p w14:paraId="0C9BE91E"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le misure cautelari;</w:t>
      </w:r>
    </w:p>
    <w:p w14:paraId="544AE60F"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le indagini preliminari e l’udienza preliminare;</w:t>
      </w:r>
    </w:p>
    <w:p w14:paraId="5868B633"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le investigazioni difensive;</w:t>
      </w:r>
    </w:p>
    <w:p w14:paraId="442299D2"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procedimenti speciali;</w:t>
      </w:r>
    </w:p>
    <w:p w14:paraId="7E73D837"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il giudizio di primo grado sia davanti al tribunale in composizione monocratica che davanti al tribunale in composizione collegiale;</w:t>
      </w:r>
    </w:p>
    <w:p w14:paraId="3D3AA865" w14:textId="1D2C9333"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 xml:space="preserve">il </w:t>
      </w:r>
      <w:r w:rsidR="00BB1891">
        <w:rPr>
          <w:rFonts w:ascii="Times" w:hAnsi="Times" w:cs="Times"/>
        </w:rPr>
        <w:t xml:space="preserve">procedimento </w:t>
      </w:r>
      <w:r w:rsidRPr="00C364E8">
        <w:rPr>
          <w:rFonts w:ascii="Times" w:hAnsi="Times" w:cs="Times"/>
        </w:rPr>
        <w:t>davanti al giudice di pace;</w:t>
      </w:r>
    </w:p>
    <w:p w14:paraId="0E5B129F" w14:textId="6C570C92"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mezzi di impugnazione ordinaria e straordinaria;</w:t>
      </w:r>
    </w:p>
    <w:p w14:paraId="56E60EC4" w14:textId="77777777"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il giudicato e la sua efficacia interna ed esterna al processo penale;</w:t>
      </w:r>
    </w:p>
    <w:p w14:paraId="52D14719" w14:textId="2A4CB704" w:rsidR="00C364E8" w:rsidRPr="00C364E8" w:rsidRDefault="00C364E8" w:rsidP="00C364E8">
      <w:pPr>
        <w:ind w:left="284" w:hanging="284"/>
        <w:rPr>
          <w:rFonts w:ascii="Times" w:hAnsi="Times" w:cs="Times"/>
        </w:rPr>
      </w:pPr>
      <w:r w:rsidRPr="00C364E8">
        <w:rPr>
          <w:rFonts w:ascii="Times" w:hAnsi="Times" w:cs="Times"/>
        </w:rPr>
        <w:t>–</w:t>
      </w:r>
      <w:r w:rsidRPr="00C364E8">
        <w:rPr>
          <w:rFonts w:ascii="Times" w:hAnsi="Times" w:cs="Times"/>
        </w:rPr>
        <w:tab/>
        <w:t>i lineamenti generali dei rapporti giurisdizionali con le autorità straniere;</w:t>
      </w:r>
    </w:p>
    <w:p w14:paraId="0A5896FC" w14:textId="77CF3277" w:rsidR="00AF398B" w:rsidRDefault="00C364E8" w:rsidP="00D23E12">
      <w:pPr>
        <w:ind w:left="284" w:hanging="284"/>
        <w:rPr>
          <w:rFonts w:ascii="Times" w:hAnsi="Times" w:cs="Times"/>
        </w:rPr>
      </w:pPr>
      <w:r w:rsidRPr="00C364E8">
        <w:rPr>
          <w:rFonts w:ascii="Times" w:hAnsi="Times" w:cs="Times"/>
        </w:rPr>
        <w:t>–</w:t>
      </w:r>
      <w:r w:rsidRPr="00C364E8">
        <w:rPr>
          <w:rFonts w:ascii="Times" w:hAnsi="Times" w:cs="Times"/>
        </w:rPr>
        <w:tab/>
        <w:t>la giurisdizione relativa all’accertamento della responsabilità amministrativa degli “enti”.</w:t>
      </w:r>
    </w:p>
    <w:p w14:paraId="396259B7" w14:textId="77777777" w:rsidR="007F4435" w:rsidRDefault="007F4435" w:rsidP="00AF398B">
      <w:pPr>
        <w:ind w:left="284" w:hanging="284"/>
        <w:rPr>
          <w:rFonts w:ascii="Times" w:hAnsi="Times" w:cs="Times"/>
        </w:rPr>
      </w:pPr>
    </w:p>
    <w:p w14:paraId="5882A8E5" w14:textId="1C2E5AE9" w:rsidR="00AF398B" w:rsidRPr="00AF398B" w:rsidRDefault="00AF398B" w:rsidP="00AF398B">
      <w:pPr>
        <w:ind w:left="284" w:hanging="284"/>
        <w:rPr>
          <w:rFonts w:ascii="Times" w:hAnsi="Times" w:cs="Times"/>
        </w:rPr>
      </w:pPr>
      <w:r w:rsidRPr="00AF398B">
        <w:rPr>
          <w:rFonts w:ascii="Times" w:hAnsi="Times" w:cs="Times"/>
        </w:rPr>
        <w:lastRenderedPageBreak/>
        <w:t xml:space="preserve">Per gli studenti </w:t>
      </w:r>
      <w:r>
        <w:rPr>
          <w:rFonts w:ascii="Times" w:hAnsi="Times" w:cs="Times"/>
          <w:i/>
        </w:rPr>
        <w:t>non f</w:t>
      </w:r>
      <w:r w:rsidRPr="00AF398B">
        <w:rPr>
          <w:rFonts w:ascii="Times" w:hAnsi="Times" w:cs="Times"/>
          <w:i/>
        </w:rPr>
        <w:t>requentanti</w:t>
      </w:r>
      <w:r w:rsidRPr="00AF398B">
        <w:rPr>
          <w:rFonts w:ascii="Times" w:hAnsi="Times" w:cs="Times"/>
        </w:rPr>
        <w:t xml:space="preserve">, </w:t>
      </w:r>
      <w:r>
        <w:rPr>
          <w:rFonts w:ascii="Times" w:hAnsi="Times" w:cs="Times"/>
        </w:rPr>
        <w:t>la preparazione dovrà essere condotta sui seguenti argomenti</w:t>
      </w:r>
      <w:r w:rsidRPr="00AF398B">
        <w:rPr>
          <w:rFonts w:ascii="Times" w:hAnsi="Times" w:cs="Times"/>
        </w:rPr>
        <w:t>:</w:t>
      </w:r>
    </w:p>
    <w:p w14:paraId="1975C5C3" w14:textId="217635D2" w:rsidR="000A2584" w:rsidRPr="00C364E8" w:rsidRDefault="002438D0" w:rsidP="000A2584">
      <w:pPr>
        <w:ind w:left="284" w:hanging="284"/>
        <w:rPr>
          <w:rFonts w:ascii="Times" w:hAnsi="Times" w:cs="Times"/>
        </w:rPr>
      </w:pPr>
      <w:r w:rsidRPr="002438D0">
        <w:rPr>
          <w:rFonts w:ascii="Times" w:hAnsi="Times" w:cs="Times"/>
        </w:rPr>
        <w:t>–</w:t>
      </w:r>
      <w:r w:rsidRPr="002438D0">
        <w:rPr>
          <w:rFonts w:ascii="Times" w:hAnsi="Times" w:cs="Times"/>
        </w:rPr>
        <w:tab/>
      </w:r>
      <w:r w:rsidR="000A2584">
        <w:rPr>
          <w:rFonts w:ascii="Times" w:hAnsi="Times" w:cs="Times"/>
        </w:rPr>
        <w:t>il sistema del</w:t>
      </w:r>
      <w:r w:rsidR="000A2584" w:rsidRPr="00C364E8">
        <w:rPr>
          <w:rFonts w:ascii="Times" w:hAnsi="Times" w:cs="Times"/>
        </w:rPr>
        <w:t>le fonti del diritto processuale penale;</w:t>
      </w:r>
    </w:p>
    <w:p w14:paraId="56309B23"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la legge processuale penale nel tempo e nello spazio;</w:t>
      </w:r>
    </w:p>
    <w:p w14:paraId="21BC6AA1"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l’organizzazione dell’ordinamento giudiziario;</w:t>
      </w:r>
    </w:p>
    <w:p w14:paraId="54535EF4"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soggetti del processo e gli oggetti della giurisdizione processuale;</w:t>
      </w:r>
    </w:p>
    <w:p w14:paraId="1D6EA6E3"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gli atti del processo e del procedimento;</w:t>
      </w:r>
    </w:p>
    <w:p w14:paraId="390509B0"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il sistema delle prove;</w:t>
      </w:r>
    </w:p>
    <w:p w14:paraId="115179C2"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le misure cautelari;</w:t>
      </w:r>
    </w:p>
    <w:p w14:paraId="7DB8D2A0"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le indagini preliminari e l’udienza preliminare;</w:t>
      </w:r>
    </w:p>
    <w:p w14:paraId="36754B72"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le investigazioni difensive;</w:t>
      </w:r>
    </w:p>
    <w:p w14:paraId="4CDC300D"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procedimenti speciali;</w:t>
      </w:r>
    </w:p>
    <w:p w14:paraId="362C422F" w14:textId="77777777"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il giudizio di primo grado sia davanti al tribunale in composizione monocratica che davanti al tribunale in composizione collegiale;</w:t>
      </w:r>
    </w:p>
    <w:p w14:paraId="5AF3C849" w14:textId="3ED819EB"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 xml:space="preserve">il </w:t>
      </w:r>
      <w:r w:rsidR="00BB1891">
        <w:rPr>
          <w:rFonts w:ascii="Times" w:hAnsi="Times" w:cs="Times"/>
        </w:rPr>
        <w:t xml:space="preserve">procedimento </w:t>
      </w:r>
      <w:r w:rsidRPr="00C364E8">
        <w:rPr>
          <w:rFonts w:ascii="Times" w:hAnsi="Times" w:cs="Times"/>
        </w:rPr>
        <w:t>davanti al giudice di pace;</w:t>
      </w:r>
    </w:p>
    <w:p w14:paraId="55576FBC" w14:textId="03672743"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mezzi di impugnazione ordinaria e straordinaria;</w:t>
      </w:r>
    </w:p>
    <w:p w14:paraId="1666699F" w14:textId="77D6B145" w:rsidR="000A2584"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il giudicato e la sua efficacia interna ed esterna al processo penale;</w:t>
      </w:r>
    </w:p>
    <w:p w14:paraId="025B9D61" w14:textId="0B5EF634" w:rsidR="000A2584" w:rsidRPr="00C364E8" w:rsidRDefault="000A2584">
      <w:pPr>
        <w:ind w:left="284" w:hanging="284"/>
        <w:rPr>
          <w:rFonts w:ascii="Times" w:hAnsi="Times" w:cs="Times"/>
        </w:rPr>
      </w:pPr>
      <w:r w:rsidRPr="000A2584">
        <w:rPr>
          <w:rFonts w:ascii="Times" w:hAnsi="Times" w:cs="Times"/>
        </w:rPr>
        <w:t>–</w:t>
      </w:r>
      <w:r w:rsidRPr="000A2584">
        <w:rPr>
          <w:rFonts w:ascii="Times" w:hAnsi="Times" w:cs="Times"/>
        </w:rPr>
        <w:tab/>
      </w:r>
      <w:r>
        <w:rPr>
          <w:rFonts w:ascii="Times" w:hAnsi="Times" w:cs="Times"/>
        </w:rPr>
        <w:t>l’esecuzione penale</w:t>
      </w:r>
      <w:r w:rsidRPr="000A2584">
        <w:rPr>
          <w:rFonts w:ascii="Times" w:hAnsi="Times" w:cs="Times"/>
        </w:rPr>
        <w:t>;</w:t>
      </w:r>
    </w:p>
    <w:p w14:paraId="71EEC8EF" w14:textId="5517F132" w:rsidR="000A2584" w:rsidRPr="00C364E8"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i rapporti giurisdizionali con le autorità straniere;</w:t>
      </w:r>
    </w:p>
    <w:p w14:paraId="709F604C" w14:textId="6FE2EA05" w:rsidR="000A2584" w:rsidRDefault="000A2584" w:rsidP="000A2584">
      <w:pPr>
        <w:ind w:left="284" w:hanging="284"/>
        <w:rPr>
          <w:rFonts w:ascii="Times" w:hAnsi="Times" w:cs="Times"/>
        </w:rPr>
      </w:pPr>
      <w:r w:rsidRPr="00C364E8">
        <w:rPr>
          <w:rFonts w:ascii="Times" w:hAnsi="Times" w:cs="Times"/>
        </w:rPr>
        <w:t>–</w:t>
      </w:r>
      <w:r w:rsidRPr="00C364E8">
        <w:rPr>
          <w:rFonts w:ascii="Times" w:hAnsi="Times" w:cs="Times"/>
        </w:rPr>
        <w:tab/>
        <w:t>la giurisdizione relativa all’accertamento della responsabilità amministrativa degli “enti”</w:t>
      </w:r>
      <w:r>
        <w:rPr>
          <w:rFonts w:ascii="Times" w:hAnsi="Times" w:cs="Times"/>
        </w:rPr>
        <w:t>;</w:t>
      </w:r>
    </w:p>
    <w:p w14:paraId="57A43244" w14:textId="389FAB88" w:rsidR="00AF398B" w:rsidRPr="00C364E8" w:rsidRDefault="000A2584">
      <w:pPr>
        <w:ind w:left="284" w:hanging="284"/>
        <w:rPr>
          <w:rFonts w:ascii="Times" w:hAnsi="Times" w:cs="Times"/>
        </w:rPr>
      </w:pPr>
      <w:r w:rsidRPr="000A2584">
        <w:rPr>
          <w:rFonts w:ascii="Times" w:hAnsi="Times" w:cs="Times"/>
        </w:rPr>
        <w:t>–</w:t>
      </w:r>
      <w:r w:rsidRPr="000A2584">
        <w:rPr>
          <w:rFonts w:ascii="Times" w:hAnsi="Times" w:cs="Times"/>
        </w:rPr>
        <w:tab/>
      </w:r>
      <w:r>
        <w:rPr>
          <w:rFonts w:ascii="Times" w:hAnsi="Times" w:cs="Times"/>
        </w:rPr>
        <w:t>il processo penale minorile.</w:t>
      </w:r>
    </w:p>
    <w:p w14:paraId="6A93E319" w14:textId="4FCDA8FD" w:rsidR="00C364E8" w:rsidRPr="00C364E8" w:rsidRDefault="00C364E8" w:rsidP="00C364E8">
      <w:pPr>
        <w:spacing w:before="240" w:after="120" w:line="220" w:lineRule="exact"/>
        <w:rPr>
          <w:b/>
          <w:i/>
          <w:sz w:val="18"/>
        </w:rPr>
      </w:pPr>
      <w:r w:rsidRPr="00C364E8">
        <w:rPr>
          <w:b/>
          <w:i/>
          <w:sz w:val="18"/>
        </w:rPr>
        <w:t>BIBLIOGRAFIA</w:t>
      </w:r>
      <w:r w:rsidR="00F02929">
        <w:rPr>
          <w:rStyle w:val="Rimandonotaapidipagina"/>
          <w:b/>
          <w:i/>
          <w:sz w:val="18"/>
        </w:rPr>
        <w:footnoteReference w:id="1"/>
      </w:r>
    </w:p>
    <w:p w14:paraId="6A7712BF" w14:textId="112B33C0" w:rsidR="00C379BC" w:rsidRDefault="00C379BC" w:rsidP="002A3C13">
      <w:pPr>
        <w:pStyle w:val="Testo1"/>
        <w:spacing w:before="0"/>
      </w:pPr>
      <w:r>
        <w:t>La preparazione per l’esame potrà essere condotta sui seguenti manuali.</w:t>
      </w:r>
    </w:p>
    <w:p w14:paraId="31D2B405" w14:textId="5B6FC8CC" w:rsidR="002A3C13" w:rsidRPr="002A3C13" w:rsidRDefault="002A3C13" w:rsidP="00881ADC">
      <w:pPr>
        <w:pStyle w:val="Testo1"/>
        <w:spacing w:before="0"/>
        <w:ind w:firstLine="0"/>
      </w:pPr>
      <w:r w:rsidRPr="002A3C13">
        <w:t xml:space="preserve">Per gli studenti </w:t>
      </w:r>
      <w:r w:rsidRPr="002A3C13">
        <w:rPr>
          <w:i/>
          <w:iCs/>
        </w:rPr>
        <w:t>frequentanti</w:t>
      </w:r>
      <w:r w:rsidRPr="002A3C13">
        <w:t>:</w:t>
      </w:r>
    </w:p>
    <w:p w14:paraId="68A7DB2C" w14:textId="3F48A842" w:rsidR="002A3C13" w:rsidRPr="002A3C13" w:rsidRDefault="00074624" w:rsidP="00881ADC">
      <w:pPr>
        <w:pStyle w:val="Testo1"/>
      </w:pPr>
      <w:r w:rsidRPr="00C364E8">
        <w:t>A</w:t>
      </w:r>
      <w:r w:rsidR="00AF398B">
        <w:t>a</w:t>
      </w:r>
      <w:r w:rsidRPr="00C364E8">
        <w:t>.V</w:t>
      </w:r>
      <w:r w:rsidR="00AF398B">
        <w:t>v</w:t>
      </w:r>
      <w:r w:rsidRPr="00C364E8">
        <w:t xml:space="preserve">., </w:t>
      </w:r>
      <w:r w:rsidRPr="00C364E8">
        <w:rPr>
          <w:i/>
          <w:iCs/>
        </w:rPr>
        <w:t>Procedura penale</w:t>
      </w:r>
      <w:r w:rsidRPr="00C364E8">
        <w:t>, Giappichelli, Torino, ultima edizione disponibile</w:t>
      </w:r>
      <w:r>
        <w:t xml:space="preserve">, </w:t>
      </w:r>
      <w:r w:rsidR="007A15FF">
        <w:t>con esclusione dei seguenti Capitoli: XVII</w:t>
      </w:r>
      <w:r w:rsidR="00482DD7">
        <w:t xml:space="preserve"> (</w:t>
      </w:r>
      <w:r w:rsidR="00482DD7" w:rsidRPr="00D23E12">
        <w:rPr>
          <w:i/>
        </w:rPr>
        <w:t>Il processo penale minorile</w:t>
      </w:r>
      <w:r w:rsidR="00482DD7">
        <w:t>)</w:t>
      </w:r>
      <w:r w:rsidR="007A15FF">
        <w:t>, XXII</w:t>
      </w:r>
      <w:r w:rsidR="00482DD7">
        <w:t xml:space="preserve"> (</w:t>
      </w:r>
      <w:r w:rsidR="00482DD7" w:rsidRPr="00D23E12">
        <w:rPr>
          <w:i/>
        </w:rPr>
        <w:t>Il ricorso alla Corte europea dei diritti dell’uomo</w:t>
      </w:r>
      <w:r w:rsidR="00482DD7">
        <w:t>)</w:t>
      </w:r>
      <w:r w:rsidR="007A15FF">
        <w:t>, XXIV</w:t>
      </w:r>
      <w:r w:rsidR="00482DD7">
        <w:t xml:space="preserve"> (</w:t>
      </w:r>
      <w:r w:rsidR="00482DD7" w:rsidRPr="00D23E12">
        <w:rPr>
          <w:i/>
        </w:rPr>
        <w:t>L’esecuzione penale</w:t>
      </w:r>
      <w:r w:rsidR="00482DD7">
        <w:t>)</w:t>
      </w:r>
      <w:r w:rsidR="007A15FF">
        <w:t>, XXIX</w:t>
      </w:r>
      <w:r w:rsidR="00482DD7">
        <w:t xml:space="preserve"> (</w:t>
      </w:r>
      <w:r w:rsidR="00482DD7" w:rsidRPr="00D23E12">
        <w:rPr>
          <w:i/>
        </w:rPr>
        <w:t>Il procedimento di prevenzione</w:t>
      </w:r>
      <w:r w:rsidR="00482DD7">
        <w:t>)</w:t>
      </w:r>
      <w:r w:rsidR="00AF398B">
        <w:t>.</w:t>
      </w:r>
      <w:r w:rsidR="00F02929">
        <w:t xml:space="preserve"> </w:t>
      </w:r>
      <w:hyperlink r:id="rId11" w:history="1">
        <w:r w:rsidR="00F02929" w:rsidRPr="00F02929">
          <w:rPr>
            <w:rStyle w:val="Collegamentoipertestuale"/>
            <w:rFonts w:ascii="Times New Roman" w:hAnsi="Times New Roman"/>
            <w:i/>
            <w:sz w:val="16"/>
            <w:szCs w:val="16"/>
          </w:rPr>
          <w:t>Acquista da VP</w:t>
        </w:r>
      </w:hyperlink>
      <w:bookmarkStart w:id="0" w:name="_GoBack"/>
      <w:bookmarkEnd w:id="0"/>
      <w:r>
        <w:tab/>
      </w:r>
      <w:r>
        <w:br/>
      </w:r>
      <w:r w:rsidR="002A3C13" w:rsidRPr="002A3C13">
        <w:t xml:space="preserve">Per gli studenti </w:t>
      </w:r>
      <w:r w:rsidR="002A3C13" w:rsidRPr="002A3C13">
        <w:rPr>
          <w:i/>
          <w:iCs/>
        </w:rPr>
        <w:t>non frequentanti</w:t>
      </w:r>
      <w:r w:rsidR="002A3C13" w:rsidRPr="002A3C13">
        <w:t>:</w:t>
      </w:r>
    </w:p>
    <w:p w14:paraId="3AD1283C" w14:textId="1CFD4615" w:rsidR="00074624" w:rsidRDefault="002A3C13" w:rsidP="00074624">
      <w:pPr>
        <w:pStyle w:val="Testo1"/>
        <w:spacing w:before="0"/>
      </w:pPr>
      <w:r w:rsidRPr="002A3C13">
        <w:t xml:space="preserve"> </w:t>
      </w:r>
      <w:r w:rsidR="00074624" w:rsidRPr="00C364E8">
        <w:t xml:space="preserve">G. Conso-V. Grevi-M. Bargis, </w:t>
      </w:r>
      <w:r w:rsidR="00074624" w:rsidRPr="00C364E8">
        <w:rPr>
          <w:i/>
          <w:iCs/>
        </w:rPr>
        <w:t>Compendio di procedura penale</w:t>
      </w:r>
      <w:r w:rsidR="00074624" w:rsidRPr="00C364E8">
        <w:t>, Cedam, Padova, ultima edizione disponibile</w:t>
      </w:r>
      <w:r w:rsidR="00C379BC">
        <w:t xml:space="preserve"> (nella sua integralità)</w:t>
      </w:r>
      <w:r w:rsidR="00074624" w:rsidRPr="00C364E8">
        <w:t>.</w:t>
      </w:r>
      <w:r w:rsidR="00F02929">
        <w:t xml:space="preserve"> </w:t>
      </w:r>
      <w:hyperlink r:id="rId12" w:history="1">
        <w:r w:rsidR="00F02929" w:rsidRPr="00F02929">
          <w:rPr>
            <w:rStyle w:val="Collegamentoipertestuale"/>
            <w:rFonts w:ascii="Times New Roman" w:hAnsi="Times New Roman"/>
            <w:i/>
            <w:sz w:val="16"/>
            <w:szCs w:val="16"/>
          </w:rPr>
          <w:t>Acquista da VP</w:t>
        </w:r>
      </w:hyperlink>
    </w:p>
    <w:p w14:paraId="452D2F67" w14:textId="70FEE881" w:rsidR="00AF398B" w:rsidRDefault="00C364E8" w:rsidP="00881ADC">
      <w:pPr>
        <w:pStyle w:val="Testo1"/>
      </w:pPr>
      <w:r w:rsidRPr="00C364E8">
        <w:t xml:space="preserve">Quanto al testo del Codice di procedura penale lo studente potrà avvalersi di qualunque edizione disponibile, purché aggiornata e corredata dei testi più significativi di diritto costituzionale e di diritto sovranazionale, segnatamente della Convenzione europea dei </w:t>
      </w:r>
      <w:r w:rsidRPr="00C364E8">
        <w:lastRenderedPageBreak/>
        <w:t>diritti dell’uomo e dei relativi protocolli, del Patto internazionale sui diritti civili e politici, nonché del Trattato di Lisbona.</w:t>
      </w:r>
      <w:r w:rsidR="00AF398B" w:rsidRPr="00AF398B">
        <w:t xml:space="preserve"> </w:t>
      </w:r>
    </w:p>
    <w:p w14:paraId="7E2A7ECB" w14:textId="77777777" w:rsidR="001D0747" w:rsidRDefault="001D0747" w:rsidP="00AF398B">
      <w:pPr>
        <w:pStyle w:val="Testo1"/>
        <w:spacing w:before="0"/>
      </w:pPr>
    </w:p>
    <w:p w14:paraId="2CF6CABB" w14:textId="3A733548" w:rsidR="00C364E8" w:rsidRPr="00C364E8" w:rsidRDefault="00AF398B">
      <w:pPr>
        <w:pStyle w:val="Testo1"/>
        <w:spacing w:before="0"/>
      </w:pPr>
      <w:r w:rsidRPr="00C364E8">
        <w:t>Ulteriori eventuali indicazioni bibliografiche di aggiornamento</w:t>
      </w:r>
      <w:r>
        <w:t xml:space="preserve"> dovute all</w:t>
      </w:r>
      <w:r w:rsidR="00C379BC">
        <w:t>’</w:t>
      </w:r>
      <w:r>
        <w:t xml:space="preserve">attuazione della </w:t>
      </w:r>
      <w:r w:rsidR="00C1746B">
        <w:t xml:space="preserve">delega contenuta nella </w:t>
      </w:r>
      <w:r>
        <w:t>legge 27 settembre 2021, n. 134</w:t>
      </w:r>
      <w:r w:rsidR="006B1CB9">
        <w:t xml:space="preserve"> (c</w:t>
      </w:r>
      <w:r>
        <w:t>d. legge “Cartabia”)</w:t>
      </w:r>
      <w:r w:rsidRPr="00C364E8">
        <w:t xml:space="preserve"> saranno fornite </w:t>
      </w:r>
      <w:r>
        <w:t>durante il</w:t>
      </w:r>
      <w:r w:rsidRPr="00C364E8">
        <w:t xml:space="preserve"> corso.</w:t>
      </w:r>
    </w:p>
    <w:p w14:paraId="12CC2C92" w14:textId="77777777" w:rsidR="00C364E8" w:rsidRPr="00C364E8" w:rsidRDefault="00C364E8" w:rsidP="00C364E8">
      <w:pPr>
        <w:spacing w:before="240" w:after="120" w:line="220" w:lineRule="exact"/>
        <w:rPr>
          <w:b/>
          <w:i/>
          <w:sz w:val="18"/>
        </w:rPr>
      </w:pPr>
      <w:r w:rsidRPr="00C364E8">
        <w:rPr>
          <w:b/>
          <w:i/>
          <w:sz w:val="18"/>
        </w:rPr>
        <w:t>DIDATTICA DEL CORSO</w:t>
      </w:r>
    </w:p>
    <w:p w14:paraId="3DD69F34" w14:textId="77777777" w:rsidR="00C364E8" w:rsidRPr="00C364E8" w:rsidRDefault="00C364E8" w:rsidP="00C364E8">
      <w:pPr>
        <w:pStyle w:val="Testo2"/>
      </w:pPr>
      <w:r w:rsidRPr="00C364E8">
        <w:t>Lezioni in aula ed esercitazioni.</w:t>
      </w:r>
    </w:p>
    <w:p w14:paraId="6DA65046" w14:textId="77777777" w:rsidR="00C364E8" w:rsidRPr="00C364E8" w:rsidRDefault="00C364E8" w:rsidP="00C364E8">
      <w:pPr>
        <w:spacing w:before="240" w:after="120" w:line="220" w:lineRule="exact"/>
        <w:rPr>
          <w:b/>
          <w:i/>
          <w:sz w:val="18"/>
        </w:rPr>
      </w:pPr>
      <w:r w:rsidRPr="00C364E8">
        <w:rPr>
          <w:b/>
          <w:i/>
          <w:sz w:val="18"/>
        </w:rPr>
        <w:t>METODO E CRITERI DI VALUTAZIONE</w:t>
      </w:r>
    </w:p>
    <w:p w14:paraId="20628B16" w14:textId="77777777" w:rsidR="00C364E8" w:rsidRPr="00C364E8" w:rsidRDefault="00C364E8" w:rsidP="00C364E8">
      <w:pPr>
        <w:pStyle w:val="Testo2"/>
      </w:pPr>
      <w:r w:rsidRPr="00C364E8">
        <w:t>La verifica dell’apprendimento prevede una prova orale con domande sugli argomenti oggetto del programma. Attraverso tali domande su profili significativi della disciplina, si accerterà il livello di conoscenza acquisita e la competenza a cogliere le interrelazioni tra gli istituti e i profili di sistema. Il voto finale terrà conto dell’esattezza e della qualità delle risposte, nonché dell’abilità comunicativa, della correttezza del linguaggio giuridico e della capacità di argomentare. Saranno valutate negativamente lacune gravi, l’utilizzo di un linguaggio non appropriato, mancanza evidente di analisi critica.</w:t>
      </w:r>
    </w:p>
    <w:p w14:paraId="7F7E95FE" w14:textId="77777777" w:rsidR="00C364E8" w:rsidRPr="00C364E8" w:rsidRDefault="00C364E8" w:rsidP="00C364E8">
      <w:pPr>
        <w:spacing w:before="240" w:after="120"/>
        <w:rPr>
          <w:b/>
          <w:i/>
          <w:sz w:val="18"/>
        </w:rPr>
      </w:pPr>
      <w:r w:rsidRPr="00C364E8">
        <w:rPr>
          <w:b/>
          <w:i/>
          <w:sz w:val="18"/>
        </w:rPr>
        <w:t>AVVERTENZE E PREREQUISITI</w:t>
      </w:r>
    </w:p>
    <w:p w14:paraId="364D2AA8" w14:textId="77777777" w:rsidR="00C364E8" w:rsidRPr="00C364E8" w:rsidRDefault="00C364E8" w:rsidP="00C364E8">
      <w:pPr>
        <w:pStyle w:val="Testo2"/>
      </w:pPr>
      <w:r w:rsidRPr="00C364E8">
        <w:t>Si consiglia agli studenti di sostenere l’esame di Diritto processuale penale dopo aver affrontato, e possibilmente superato, i seguenti esami: Diritto penale e Diritto processuale civile.</w:t>
      </w:r>
    </w:p>
    <w:p w14:paraId="496A52C3" w14:textId="2B8628CA" w:rsidR="00C364E8" w:rsidRPr="00C364E8" w:rsidRDefault="00C364E8" w:rsidP="00C364E8">
      <w:pPr>
        <w:pStyle w:val="Testo2"/>
      </w:pPr>
      <w:r w:rsidRPr="00C364E8">
        <w:t xml:space="preserve">Tra gli insegnamenti complementari gli studenti potranno utilmente inserire nel piano di studi anche i corsi di </w:t>
      </w:r>
      <w:r w:rsidR="00342361">
        <w:t xml:space="preserve">Diritto e logica della prova, di </w:t>
      </w:r>
      <w:r w:rsidRPr="00C364E8">
        <w:t>Ordinamento giudiziario e di Diritto penitenziario.</w:t>
      </w:r>
    </w:p>
    <w:p w14:paraId="3FE79B0F" w14:textId="77777777" w:rsidR="007A5476" w:rsidRDefault="007A5476" w:rsidP="00932773">
      <w:pPr>
        <w:spacing w:before="240" w:after="120"/>
        <w:rPr>
          <w:b/>
          <w:i/>
          <w:sz w:val="18"/>
        </w:rPr>
      </w:pPr>
    </w:p>
    <w:sectPr w:rsidR="007A54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83195" w14:textId="77777777" w:rsidR="00F02929" w:rsidRDefault="00F02929" w:rsidP="00F02929">
      <w:pPr>
        <w:spacing w:line="240" w:lineRule="auto"/>
      </w:pPr>
      <w:r>
        <w:separator/>
      </w:r>
    </w:p>
  </w:endnote>
  <w:endnote w:type="continuationSeparator" w:id="0">
    <w:p w14:paraId="2240A06C" w14:textId="77777777" w:rsidR="00F02929" w:rsidRDefault="00F02929" w:rsidP="00F02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A606A" w14:textId="77777777" w:rsidR="00F02929" w:rsidRDefault="00F02929" w:rsidP="00F02929">
      <w:pPr>
        <w:spacing w:line="240" w:lineRule="auto"/>
      </w:pPr>
      <w:r>
        <w:separator/>
      </w:r>
    </w:p>
  </w:footnote>
  <w:footnote w:type="continuationSeparator" w:id="0">
    <w:p w14:paraId="7A330D2B" w14:textId="77777777" w:rsidR="00F02929" w:rsidRDefault="00F02929" w:rsidP="00F02929">
      <w:pPr>
        <w:spacing w:line="240" w:lineRule="auto"/>
      </w:pPr>
      <w:r>
        <w:continuationSeparator/>
      </w:r>
    </w:p>
  </w:footnote>
  <w:footnote w:id="1">
    <w:p w14:paraId="1FD8D438" w14:textId="266CDF6A" w:rsidR="00F02929" w:rsidRDefault="00F029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9E"/>
    <w:rsid w:val="00016ED3"/>
    <w:rsid w:val="00074624"/>
    <w:rsid w:val="000778C1"/>
    <w:rsid w:val="000A08FB"/>
    <w:rsid w:val="000A2584"/>
    <w:rsid w:val="00187B99"/>
    <w:rsid w:val="001D0747"/>
    <w:rsid w:val="001F4BC5"/>
    <w:rsid w:val="002014DD"/>
    <w:rsid w:val="00211C87"/>
    <w:rsid w:val="002438D0"/>
    <w:rsid w:val="00293653"/>
    <w:rsid w:val="002A3C13"/>
    <w:rsid w:val="002D5E17"/>
    <w:rsid w:val="00342361"/>
    <w:rsid w:val="00343F88"/>
    <w:rsid w:val="00430044"/>
    <w:rsid w:val="00482DD7"/>
    <w:rsid w:val="004D1217"/>
    <w:rsid w:val="004D6008"/>
    <w:rsid w:val="00502E7B"/>
    <w:rsid w:val="00575E79"/>
    <w:rsid w:val="00640794"/>
    <w:rsid w:val="006B1CB9"/>
    <w:rsid w:val="006F1772"/>
    <w:rsid w:val="007A15FF"/>
    <w:rsid w:val="007A5476"/>
    <w:rsid w:val="007A70D4"/>
    <w:rsid w:val="007B459E"/>
    <w:rsid w:val="007C190C"/>
    <w:rsid w:val="007F4435"/>
    <w:rsid w:val="00825862"/>
    <w:rsid w:val="00881ADC"/>
    <w:rsid w:val="008942E7"/>
    <w:rsid w:val="008A1204"/>
    <w:rsid w:val="00900CCA"/>
    <w:rsid w:val="0092248E"/>
    <w:rsid w:val="00924B77"/>
    <w:rsid w:val="00932773"/>
    <w:rsid w:val="00940DA2"/>
    <w:rsid w:val="009D6268"/>
    <w:rsid w:val="009E055C"/>
    <w:rsid w:val="009E0BB2"/>
    <w:rsid w:val="009E79AC"/>
    <w:rsid w:val="00A56FFC"/>
    <w:rsid w:val="00A74F6F"/>
    <w:rsid w:val="00A931AF"/>
    <w:rsid w:val="00AD7557"/>
    <w:rsid w:val="00AE3B17"/>
    <w:rsid w:val="00AF398B"/>
    <w:rsid w:val="00B434D6"/>
    <w:rsid w:val="00B50C5D"/>
    <w:rsid w:val="00B51253"/>
    <w:rsid w:val="00B525CC"/>
    <w:rsid w:val="00BB1891"/>
    <w:rsid w:val="00C065DF"/>
    <w:rsid w:val="00C12C9B"/>
    <w:rsid w:val="00C1746B"/>
    <w:rsid w:val="00C364E8"/>
    <w:rsid w:val="00C379BC"/>
    <w:rsid w:val="00C82FC9"/>
    <w:rsid w:val="00CC7EB9"/>
    <w:rsid w:val="00CF020B"/>
    <w:rsid w:val="00D23E12"/>
    <w:rsid w:val="00D404F2"/>
    <w:rsid w:val="00D546CA"/>
    <w:rsid w:val="00D64823"/>
    <w:rsid w:val="00DA62B3"/>
    <w:rsid w:val="00E4339B"/>
    <w:rsid w:val="00E607E6"/>
    <w:rsid w:val="00EE7722"/>
    <w:rsid w:val="00F02929"/>
    <w:rsid w:val="00F10AB5"/>
    <w:rsid w:val="00F24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A3C1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3C13"/>
    <w:rPr>
      <w:rFonts w:ascii="Segoe UI" w:hAnsi="Segoe UI" w:cs="Segoe UI"/>
      <w:sz w:val="18"/>
      <w:szCs w:val="18"/>
    </w:rPr>
  </w:style>
  <w:style w:type="character" w:styleId="Collegamentoipertestuale">
    <w:name w:val="Hyperlink"/>
    <w:basedOn w:val="Carpredefinitoparagrafo"/>
    <w:rsid w:val="002A3C13"/>
    <w:rPr>
      <w:color w:val="235BA8" w:themeColor="hyperlink"/>
      <w:u w:val="single"/>
    </w:rPr>
  </w:style>
  <w:style w:type="character" w:styleId="Rimandocommento">
    <w:name w:val="annotation reference"/>
    <w:basedOn w:val="Carpredefinitoparagrafo"/>
    <w:rsid w:val="00D64823"/>
    <w:rPr>
      <w:sz w:val="16"/>
      <w:szCs w:val="16"/>
    </w:rPr>
  </w:style>
  <w:style w:type="paragraph" w:styleId="Testocommento">
    <w:name w:val="annotation text"/>
    <w:basedOn w:val="Normale"/>
    <w:link w:val="TestocommentoCarattere"/>
    <w:rsid w:val="00D64823"/>
    <w:pPr>
      <w:spacing w:line="240" w:lineRule="auto"/>
    </w:pPr>
    <w:rPr>
      <w:szCs w:val="20"/>
    </w:rPr>
  </w:style>
  <w:style w:type="character" w:customStyle="1" w:styleId="TestocommentoCarattere">
    <w:name w:val="Testo commento Carattere"/>
    <w:basedOn w:val="Carpredefinitoparagrafo"/>
    <w:link w:val="Testocommento"/>
    <w:rsid w:val="00D64823"/>
  </w:style>
  <w:style w:type="paragraph" w:styleId="Soggettocommento">
    <w:name w:val="annotation subject"/>
    <w:basedOn w:val="Testocommento"/>
    <w:next w:val="Testocommento"/>
    <w:link w:val="SoggettocommentoCarattere"/>
    <w:semiHidden/>
    <w:unhideWhenUsed/>
    <w:rsid w:val="00D64823"/>
    <w:rPr>
      <w:b/>
      <w:bCs/>
    </w:rPr>
  </w:style>
  <w:style w:type="character" w:customStyle="1" w:styleId="SoggettocommentoCarattere">
    <w:name w:val="Soggetto commento Carattere"/>
    <w:basedOn w:val="TestocommentoCarattere"/>
    <w:link w:val="Soggettocommento"/>
    <w:semiHidden/>
    <w:rsid w:val="00D64823"/>
    <w:rPr>
      <w:b/>
      <w:bCs/>
    </w:rPr>
  </w:style>
  <w:style w:type="paragraph" w:styleId="Testonotaapidipagina">
    <w:name w:val="footnote text"/>
    <w:basedOn w:val="Normale"/>
    <w:link w:val="TestonotaapidipaginaCarattere"/>
    <w:rsid w:val="00F02929"/>
    <w:pPr>
      <w:spacing w:line="240" w:lineRule="auto"/>
    </w:pPr>
    <w:rPr>
      <w:szCs w:val="20"/>
    </w:rPr>
  </w:style>
  <w:style w:type="character" w:customStyle="1" w:styleId="TestonotaapidipaginaCarattere">
    <w:name w:val="Testo nota a piè di pagina Carattere"/>
    <w:basedOn w:val="Carpredefinitoparagrafo"/>
    <w:link w:val="Testonotaapidipagina"/>
    <w:rsid w:val="00F02929"/>
  </w:style>
  <w:style w:type="character" w:styleId="Rimandonotaapidipagina">
    <w:name w:val="footnote reference"/>
    <w:basedOn w:val="Carpredefinitoparagrafo"/>
    <w:rsid w:val="00F029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A3C1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3C13"/>
    <w:rPr>
      <w:rFonts w:ascii="Segoe UI" w:hAnsi="Segoe UI" w:cs="Segoe UI"/>
      <w:sz w:val="18"/>
      <w:szCs w:val="18"/>
    </w:rPr>
  </w:style>
  <w:style w:type="character" w:styleId="Collegamentoipertestuale">
    <w:name w:val="Hyperlink"/>
    <w:basedOn w:val="Carpredefinitoparagrafo"/>
    <w:rsid w:val="002A3C13"/>
    <w:rPr>
      <w:color w:val="235BA8" w:themeColor="hyperlink"/>
      <w:u w:val="single"/>
    </w:rPr>
  </w:style>
  <w:style w:type="character" w:styleId="Rimandocommento">
    <w:name w:val="annotation reference"/>
    <w:basedOn w:val="Carpredefinitoparagrafo"/>
    <w:rsid w:val="00D64823"/>
    <w:rPr>
      <w:sz w:val="16"/>
      <w:szCs w:val="16"/>
    </w:rPr>
  </w:style>
  <w:style w:type="paragraph" w:styleId="Testocommento">
    <w:name w:val="annotation text"/>
    <w:basedOn w:val="Normale"/>
    <w:link w:val="TestocommentoCarattere"/>
    <w:rsid w:val="00D64823"/>
    <w:pPr>
      <w:spacing w:line="240" w:lineRule="auto"/>
    </w:pPr>
    <w:rPr>
      <w:szCs w:val="20"/>
    </w:rPr>
  </w:style>
  <w:style w:type="character" w:customStyle="1" w:styleId="TestocommentoCarattere">
    <w:name w:val="Testo commento Carattere"/>
    <w:basedOn w:val="Carpredefinitoparagrafo"/>
    <w:link w:val="Testocommento"/>
    <w:rsid w:val="00D64823"/>
  </w:style>
  <w:style w:type="paragraph" w:styleId="Soggettocommento">
    <w:name w:val="annotation subject"/>
    <w:basedOn w:val="Testocommento"/>
    <w:next w:val="Testocommento"/>
    <w:link w:val="SoggettocommentoCarattere"/>
    <w:semiHidden/>
    <w:unhideWhenUsed/>
    <w:rsid w:val="00D64823"/>
    <w:rPr>
      <w:b/>
      <w:bCs/>
    </w:rPr>
  </w:style>
  <w:style w:type="character" w:customStyle="1" w:styleId="SoggettocommentoCarattere">
    <w:name w:val="Soggetto commento Carattere"/>
    <w:basedOn w:val="TestocommentoCarattere"/>
    <w:link w:val="Soggettocommento"/>
    <w:semiHidden/>
    <w:rsid w:val="00D64823"/>
    <w:rPr>
      <w:b/>
      <w:bCs/>
    </w:rPr>
  </w:style>
  <w:style w:type="paragraph" w:styleId="Testonotaapidipagina">
    <w:name w:val="footnote text"/>
    <w:basedOn w:val="Normale"/>
    <w:link w:val="TestonotaapidipaginaCarattere"/>
    <w:rsid w:val="00F02929"/>
    <w:pPr>
      <w:spacing w:line="240" w:lineRule="auto"/>
    </w:pPr>
    <w:rPr>
      <w:szCs w:val="20"/>
    </w:rPr>
  </w:style>
  <w:style w:type="character" w:customStyle="1" w:styleId="TestonotaapidipaginaCarattere">
    <w:name w:val="Testo nota a piè di pagina Carattere"/>
    <w:basedOn w:val="Carpredefinitoparagrafo"/>
    <w:link w:val="Testonotaapidipagina"/>
    <w:rsid w:val="00F02929"/>
  </w:style>
  <w:style w:type="character" w:styleId="Rimandonotaapidipagina">
    <w:name w:val="footnote reference"/>
    <w:basedOn w:val="Carpredefinitoparagrafo"/>
    <w:rsid w:val="00F02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giovanni-conso-vittorio-grevi-marta-bargis/compendio-di-procedura-penale-9788813373429-68733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procedura-penale-9788892141919-700170.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5D8E2F62749F744987EDF121558235A" ma:contentTypeVersion="12" ma:contentTypeDescription="Creare un nuovo documento." ma:contentTypeScope="" ma:versionID="d050c2db666ad084c9f18dbba01531b3">
  <xsd:schema xmlns:xsd="http://www.w3.org/2001/XMLSchema" xmlns:xs="http://www.w3.org/2001/XMLSchema" xmlns:p="http://schemas.microsoft.com/office/2006/metadata/properties" xmlns:ns3="0d5bfde8-b57a-4a0f-86ab-5f971fa70f36" xmlns:ns4="92af336f-196f-4e83-9799-ce80d3ff8a43" targetNamespace="http://schemas.microsoft.com/office/2006/metadata/properties" ma:root="true" ma:fieldsID="afb278f2936bfdb700725f51c99094bb" ns3:_="" ns4:_="">
    <xsd:import namespace="0d5bfde8-b57a-4a0f-86ab-5f971fa70f36"/>
    <xsd:import namespace="92af336f-196f-4e83-9799-ce80d3ff8a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fde8-b57a-4a0f-86ab-5f971fa70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f336f-196f-4e83-9799-ce80d3ff8a4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D3AF-2AD3-453C-94AC-B1B4D64B5CD8}">
  <ds:schemaRefs>
    <ds:schemaRef ds:uri="http://schemas.microsoft.com/sharepoint/v3/contenttype/forms"/>
  </ds:schemaRefs>
</ds:datastoreItem>
</file>

<file path=customXml/itemProps2.xml><?xml version="1.0" encoding="utf-8"?>
<ds:datastoreItem xmlns:ds="http://schemas.openxmlformats.org/officeDocument/2006/customXml" ds:itemID="{DEA2E7C3-4A1C-4F1F-9177-F0DC2EE1C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D7089-E74C-41CE-962D-1E419827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bfde8-b57a-4a0f-86ab-5f971fa70f36"/>
    <ds:schemaRef ds:uri="92af336f-196f-4e83-9799-ce80d3ff8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E5236-35BB-422F-95A0-6AFA1A4B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723</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2022-04-25T14:21:00Z</dcterms:created>
  <dcterms:modified xsi:type="dcterms:W3CDTF">2022-07-19T08:36:00Z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0x01010055D8E2F62749F744987EDF121558235A</vt:lpwstr>
  </property>
</Properties>
</file>