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1B9F9" w14:textId="77777777" w:rsidR="00470D69" w:rsidRDefault="00470D69" w:rsidP="00470D69">
      <w:pPr>
        <w:pStyle w:val="Titolo1"/>
      </w:pPr>
      <w:r w:rsidRPr="00F663AE">
        <w:t>Diritto penale della famiglia e dei minori</w:t>
      </w:r>
    </w:p>
    <w:p w14:paraId="05A829E0" w14:textId="77777777" w:rsidR="00470D69" w:rsidRDefault="00470D69" w:rsidP="00470D69">
      <w:pPr>
        <w:pStyle w:val="Titolo2"/>
      </w:pPr>
      <w:r w:rsidRPr="00F663AE">
        <w:t xml:space="preserve">Prof. </w:t>
      </w:r>
      <w:r w:rsidR="00C51ACF">
        <w:t>Lara Ferla</w:t>
      </w:r>
    </w:p>
    <w:p w14:paraId="1F5B347E" w14:textId="77777777" w:rsidR="002D5E17" w:rsidRDefault="00470D69" w:rsidP="00470D69">
      <w:pPr>
        <w:spacing w:before="240" w:after="120" w:line="240" w:lineRule="exact"/>
        <w:rPr>
          <w:b/>
          <w:sz w:val="18"/>
        </w:rPr>
      </w:pPr>
      <w:r>
        <w:rPr>
          <w:b/>
          <w:i/>
          <w:sz w:val="18"/>
        </w:rPr>
        <w:t>OBIETTIVO DEL CORSO E RISULTATI DI APPRENDIMENTO ATTESI</w:t>
      </w:r>
    </w:p>
    <w:p w14:paraId="08F98F82" w14:textId="77777777" w:rsidR="00470D69" w:rsidRDefault="00470D69" w:rsidP="00470D69">
      <w:r w:rsidRPr="00F663AE">
        <w:t>Il corso affronta il tema della minore età nel sistema penale secondo una duplice prospettiva: quella del minore in quanto vittima di reati e quella del minore in quanto autore di reati, con particolare attenzione al ruolo criminogeno della famiglia. La trattazione si atterrà a un metodo interdisciplinare nel verificare le categorie giuridiche sostanziali e processuali dell’attuale sistema penale minorile, come sistema il cui obiettivo primario è la tutela della persona del minore con il diritto penale e dal diritto penale. Scopo del corso è dunque quello di tracciare le linee di un diritto penale minorile conforme alla prospettiva costituzionale e internazionale, partendo dal diritto vigente sia sostanziale che processuale.</w:t>
      </w:r>
      <w:r>
        <w:t xml:space="preserve"> Al termine dell’insegnamento lo studente sarà in grado di comprendere le categorie generali del diritto penale e del processo penale minorili, attraverso l’approfondimento di alcuni istituti peculiari della giustizia penale minorile, nonché di acquisire una conoscenza di base degli istituti fondamentali sostanziali e processuali di tutela della vittima minore di età.</w:t>
      </w:r>
    </w:p>
    <w:p w14:paraId="69031783" w14:textId="77777777" w:rsidR="00470D69" w:rsidRDefault="00470D69" w:rsidP="00470D69">
      <w:pPr>
        <w:spacing w:before="240" w:after="120" w:line="240" w:lineRule="exact"/>
        <w:rPr>
          <w:b/>
          <w:sz w:val="18"/>
        </w:rPr>
      </w:pPr>
      <w:r>
        <w:rPr>
          <w:b/>
          <w:i/>
          <w:sz w:val="18"/>
        </w:rPr>
        <w:t>PROGRAMMA DEL CORSO</w:t>
      </w:r>
    </w:p>
    <w:p w14:paraId="36A9D9A7" w14:textId="77777777" w:rsidR="00470D69" w:rsidRPr="00AD0B18" w:rsidRDefault="00470D69" w:rsidP="00470D69">
      <w:r w:rsidRPr="00AD0B18">
        <w:rPr>
          <w:i/>
        </w:rPr>
        <w:t>Parte I</w:t>
      </w:r>
      <w:r w:rsidRPr="00F663AE">
        <w:t xml:space="preserve">: </w:t>
      </w:r>
      <w:r w:rsidRPr="00AD0B18">
        <w:t>La persona del minore.</w:t>
      </w:r>
    </w:p>
    <w:p w14:paraId="2D0FA613" w14:textId="77777777" w:rsidR="00470D69" w:rsidRPr="00F663AE" w:rsidRDefault="00470D69" w:rsidP="00470D69">
      <w:r w:rsidRPr="00F663AE">
        <w:t>1.</w:t>
      </w:r>
      <w:r w:rsidRPr="00F663AE">
        <w:tab/>
        <w:t>Il minore nelle Convenzioni internazionali: diritti e protezione del minore.</w:t>
      </w:r>
    </w:p>
    <w:p w14:paraId="4C62E88A" w14:textId="77777777" w:rsidR="00470D69" w:rsidRPr="00F663AE" w:rsidRDefault="00470D69" w:rsidP="00470D69">
      <w:r w:rsidRPr="00F663AE">
        <w:t>2.</w:t>
      </w:r>
      <w:r w:rsidRPr="00F663AE">
        <w:tab/>
        <w:t>Il minore nella Costituzione italiana: diritti fondamentali e protezione.</w:t>
      </w:r>
    </w:p>
    <w:p w14:paraId="097FD479" w14:textId="77777777" w:rsidR="00470D69" w:rsidRPr="00F663AE" w:rsidRDefault="00470D69" w:rsidP="00470D69">
      <w:pPr>
        <w:spacing w:before="120"/>
      </w:pPr>
      <w:r w:rsidRPr="00AD0B18">
        <w:rPr>
          <w:i/>
        </w:rPr>
        <w:t>Parte II</w:t>
      </w:r>
      <w:r w:rsidRPr="00F663AE">
        <w:t xml:space="preserve">: </w:t>
      </w:r>
      <w:r w:rsidRPr="00AD0B18">
        <w:t>Il minore nel sistema della giustizia penale.</w:t>
      </w:r>
    </w:p>
    <w:p w14:paraId="0806CD60" w14:textId="77777777" w:rsidR="00470D69" w:rsidRPr="00F663AE" w:rsidRDefault="00470D69" w:rsidP="00470D69">
      <w:r w:rsidRPr="00F663AE">
        <w:t>1.</w:t>
      </w:r>
      <w:r w:rsidRPr="00F663AE">
        <w:tab/>
        <w:t>Linee evolutive e politica criminale del sistema penale minorile.</w:t>
      </w:r>
    </w:p>
    <w:p w14:paraId="08017DD2" w14:textId="77777777" w:rsidR="00470D69" w:rsidRPr="00F663AE" w:rsidRDefault="00470D69" w:rsidP="00470D69">
      <w:pPr>
        <w:rPr>
          <w:i/>
        </w:rPr>
      </w:pPr>
      <w:r w:rsidRPr="00F663AE">
        <w:tab/>
      </w:r>
      <w:r w:rsidRPr="00F663AE">
        <w:rPr>
          <w:i/>
        </w:rPr>
        <w:t xml:space="preserve">Sez. A </w:t>
      </w:r>
    </w:p>
    <w:p w14:paraId="3C449FA1" w14:textId="77777777" w:rsidR="00470D69" w:rsidRPr="00F663AE" w:rsidRDefault="00470D69" w:rsidP="00470D69">
      <w:r w:rsidRPr="00F663AE">
        <w:t>2.</w:t>
      </w:r>
      <w:r w:rsidRPr="00F663AE">
        <w:tab/>
        <w:t>Il minore vittima di reati: la prospettiva della tutela:</w:t>
      </w:r>
    </w:p>
    <w:p w14:paraId="2FACC220" w14:textId="77777777" w:rsidR="00470D69" w:rsidRPr="00F663AE" w:rsidRDefault="00470D69" w:rsidP="00470D69">
      <w:r w:rsidRPr="00F663AE">
        <w:t>–</w:t>
      </w:r>
      <w:r w:rsidRPr="00F663AE">
        <w:tab/>
        <w:t>nella famiglia;</w:t>
      </w:r>
    </w:p>
    <w:p w14:paraId="11A008EA" w14:textId="77777777" w:rsidR="00470D69" w:rsidRPr="00F663AE" w:rsidRDefault="00470D69" w:rsidP="00470D69">
      <w:r w:rsidRPr="00F663AE">
        <w:t>–</w:t>
      </w:r>
      <w:r w:rsidRPr="00F663AE">
        <w:tab/>
        <w:t>contro condotte di violenza sessuale;</w:t>
      </w:r>
    </w:p>
    <w:p w14:paraId="4382B0D4" w14:textId="77777777" w:rsidR="00470D69" w:rsidRPr="00F663AE" w:rsidRDefault="00470D69" w:rsidP="00470D69">
      <w:r w:rsidRPr="00F663AE">
        <w:t>–</w:t>
      </w:r>
      <w:r w:rsidRPr="00F663AE">
        <w:tab/>
        <w:t>contro condotte di abuso sessuale: pedofilia e sfruttamento sessuale.</w:t>
      </w:r>
    </w:p>
    <w:p w14:paraId="07C69B39" w14:textId="77777777" w:rsidR="00470D69" w:rsidRPr="00F663AE" w:rsidRDefault="00470D69" w:rsidP="00470D69">
      <w:r w:rsidRPr="00F663AE">
        <w:t>3.</w:t>
      </w:r>
      <w:r w:rsidRPr="00F663AE">
        <w:tab/>
        <w:t>Processo penale e tutela del minore vittima di reati.</w:t>
      </w:r>
    </w:p>
    <w:p w14:paraId="693D83E4" w14:textId="77777777" w:rsidR="00470D69" w:rsidRPr="00F663AE" w:rsidRDefault="00470D69" w:rsidP="00470D69">
      <w:pPr>
        <w:rPr>
          <w:i/>
        </w:rPr>
      </w:pPr>
      <w:r w:rsidRPr="00F663AE">
        <w:tab/>
      </w:r>
      <w:r w:rsidRPr="00F663AE">
        <w:rPr>
          <w:i/>
        </w:rPr>
        <w:t>Sez. B</w:t>
      </w:r>
    </w:p>
    <w:p w14:paraId="77F9A5C8" w14:textId="77777777" w:rsidR="00470D69" w:rsidRPr="00F663AE" w:rsidRDefault="00470D69" w:rsidP="00470D69">
      <w:r w:rsidRPr="00F663AE">
        <w:t>4.</w:t>
      </w:r>
      <w:r w:rsidRPr="00F663AE">
        <w:tab/>
        <w:t>Il minore autore di reati:</w:t>
      </w:r>
    </w:p>
    <w:p w14:paraId="3F59CF56" w14:textId="77777777" w:rsidR="00470D69" w:rsidRPr="00F663AE" w:rsidRDefault="00470D69" w:rsidP="00470D69">
      <w:r w:rsidRPr="00F663AE">
        <w:t>–</w:t>
      </w:r>
      <w:r w:rsidRPr="00F663AE">
        <w:tab/>
        <w:t>il problema dell’imputabilità e del suo accertamento;</w:t>
      </w:r>
    </w:p>
    <w:p w14:paraId="7373DC72" w14:textId="77777777" w:rsidR="00470D69" w:rsidRPr="00F663AE" w:rsidRDefault="00470D69" w:rsidP="00AF37C3">
      <w:pPr>
        <w:ind w:left="284" w:hanging="284"/>
      </w:pPr>
      <w:r w:rsidRPr="00F663AE">
        <w:t>–</w:t>
      </w:r>
      <w:r w:rsidRPr="00F663AE">
        <w:tab/>
        <w:t>la criminalità minorile: considerazioni politico-criminali; socio-psicologiche; empirico-statistiche;</w:t>
      </w:r>
    </w:p>
    <w:p w14:paraId="3EDD092F" w14:textId="77777777" w:rsidR="00470D69" w:rsidRPr="00F663AE" w:rsidRDefault="00470D69" w:rsidP="00470D69">
      <w:r w:rsidRPr="00F663AE">
        <w:t>–</w:t>
      </w:r>
      <w:r w:rsidRPr="00F663AE">
        <w:tab/>
        <w:t xml:space="preserve">sistema sanzionatorio e minore età. </w:t>
      </w:r>
    </w:p>
    <w:p w14:paraId="40B62F02" w14:textId="77777777" w:rsidR="00470D69" w:rsidRDefault="00470D69" w:rsidP="00AF37C3">
      <w:pPr>
        <w:ind w:left="284" w:hanging="284"/>
      </w:pPr>
      <w:r w:rsidRPr="00F663AE">
        <w:t>5.</w:t>
      </w:r>
      <w:r w:rsidRPr="00F663AE">
        <w:tab/>
        <w:t>Le risposte normative al disagio minorile e alla delinquenza dei minori: il Tribunale per i minorenni, il Codice Rocco; il processo penale minorile del 1988.</w:t>
      </w:r>
    </w:p>
    <w:p w14:paraId="28363EE3" w14:textId="40C65079" w:rsidR="00470D69" w:rsidRPr="00470D69" w:rsidRDefault="00470D69" w:rsidP="00470D69">
      <w:pPr>
        <w:keepNext/>
        <w:spacing w:before="240" w:after="120" w:line="240" w:lineRule="exact"/>
        <w:rPr>
          <w:b/>
          <w:sz w:val="18"/>
        </w:rPr>
      </w:pPr>
      <w:r>
        <w:rPr>
          <w:b/>
          <w:i/>
          <w:sz w:val="18"/>
        </w:rPr>
        <w:lastRenderedPageBreak/>
        <w:t>BIBLIOGRAFIA</w:t>
      </w:r>
      <w:r w:rsidR="00727895">
        <w:rPr>
          <w:rStyle w:val="Rimandonotaapidipagina"/>
          <w:b/>
          <w:i/>
          <w:sz w:val="18"/>
        </w:rPr>
        <w:footnoteReference w:id="1"/>
      </w:r>
    </w:p>
    <w:p w14:paraId="4417582A" w14:textId="187B48D6" w:rsidR="00470D69" w:rsidRPr="00F663AE" w:rsidRDefault="00470D69" w:rsidP="00470D69">
      <w:pPr>
        <w:pStyle w:val="Testo2"/>
        <w:spacing w:line="240" w:lineRule="atLeast"/>
        <w:ind w:left="284" w:hanging="284"/>
      </w:pPr>
      <w:r w:rsidRPr="00470D69">
        <w:rPr>
          <w:smallCaps/>
          <w:spacing w:val="-5"/>
          <w:sz w:val="16"/>
        </w:rPr>
        <w:t xml:space="preserve">M. Bertolino, </w:t>
      </w:r>
      <w:r w:rsidRPr="00F663AE">
        <w:rPr>
          <w:i/>
        </w:rPr>
        <w:t>Il minore vittima di reato,</w:t>
      </w:r>
      <w:r w:rsidRPr="00F663AE">
        <w:t xml:space="preserve"> </w:t>
      </w:r>
      <w:r w:rsidR="00C51ACF">
        <w:t xml:space="preserve">Giappichelli Editore, </w:t>
      </w:r>
      <w:r w:rsidRPr="00F663AE">
        <w:t>Torino, ult. ed.</w:t>
      </w:r>
      <w:r w:rsidR="00C51ACF">
        <w:t xml:space="preserve"> disponibile</w:t>
      </w:r>
      <w:r w:rsidR="00727895">
        <w:t xml:space="preserve"> </w:t>
      </w:r>
      <w:hyperlink r:id="rId8" w:history="1">
        <w:r w:rsidR="00727895" w:rsidRPr="00727895">
          <w:rPr>
            <w:rStyle w:val="Collegamentoipertestuale"/>
            <w:rFonts w:ascii="Times New Roman" w:hAnsi="Times New Roman"/>
            <w:i/>
            <w:sz w:val="16"/>
            <w:szCs w:val="16"/>
          </w:rPr>
          <w:t>Acquista da VP</w:t>
        </w:r>
      </w:hyperlink>
    </w:p>
    <w:p w14:paraId="4E9E2AF5" w14:textId="17B7CA6B" w:rsidR="00470D69" w:rsidRPr="00470D69" w:rsidRDefault="00470D69" w:rsidP="00470D69">
      <w:pPr>
        <w:pStyle w:val="Testo2"/>
        <w:spacing w:line="240" w:lineRule="atLeast"/>
        <w:ind w:left="284" w:hanging="284"/>
        <w:rPr>
          <w:spacing w:val="-5"/>
        </w:rPr>
      </w:pPr>
      <w:r w:rsidRPr="00F663AE">
        <w:rPr>
          <w:smallCaps/>
          <w:sz w:val="16"/>
        </w:rPr>
        <w:t xml:space="preserve">M. Bertolino </w:t>
      </w:r>
      <w:r w:rsidRPr="00AF37C3">
        <w:rPr>
          <w:spacing w:val="-5"/>
        </w:rPr>
        <w:t>(a cura di),</w:t>
      </w:r>
      <w:r w:rsidRPr="00AF37C3">
        <w:rPr>
          <w:i/>
          <w:spacing w:val="-5"/>
          <w:sz w:val="20"/>
        </w:rPr>
        <w:t xml:space="preserve"> </w:t>
      </w:r>
      <w:r w:rsidRPr="00470D69">
        <w:rPr>
          <w:i/>
          <w:spacing w:val="-5"/>
        </w:rPr>
        <w:t>Material</w:t>
      </w:r>
      <w:r w:rsidR="00C51ACF">
        <w:rPr>
          <w:i/>
          <w:spacing w:val="-5"/>
        </w:rPr>
        <w:t xml:space="preserve">i </w:t>
      </w:r>
      <w:r w:rsidRPr="00470D69">
        <w:rPr>
          <w:i/>
          <w:spacing w:val="-5"/>
        </w:rPr>
        <w:t xml:space="preserve">per il corso di Diritto penale </w:t>
      </w:r>
      <w:r w:rsidR="00C51ACF">
        <w:rPr>
          <w:i/>
          <w:spacing w:val="-5"/>
        </w:rPr>
        <w:t>della famiglia e dei minori</w:t>
      </w:r>
      <w:r w:rsidR="00C51ACF">
        <w:rPr>
          <w:spacing w:val="-5"/>
        </w:rPr>
        <w:t>,</w:t>
      </w:r>
      <w:r w:rsidR="00DD08BF">
        <w:rPr>
          <w:spacing w:val="-5"/>
        </w:rPr>
        <w:t xml:space="preserve"> </w:t>
      </w:r>
      <w:r w:rsidRPr="00470D69">
        <w:rPr>
          <w:spacing w:val="-5"/>
        </w:rPr>
        <w:t>dispensa reperibile presso EDUCatt, Milano.</w:t>
      </w:r>
    </w:p>
    <w:p w14:paraId="24E2E1D5" w14:textId="77777777" w:rsidR="00470D69" w:rsidRDefault="00470D69" w:rsidP="00470D69">
      <w:pPr>
        <w:pStyle w:val="Testo1"/>
        <w:ind w:firstLine="0"/>
      </w:pPr>
      <w:r>
        <w:t>Letture consigliate:</w:t>
      </w:r>
    </w:p>
    <w:p w14:paraId="2EFE6047" w14:textId="4A522C74" w:rsidR="00470D69" w:rsidRPr="00F663AE" w:rsidRDefault="00470D69" w:rsidP="00470D69">
      <w:pPr>
        <w:pStyle w:val="Testo1"/>
        <w:spacing w:before="0" w:line="240" w:lineRule="atLeast"/>
        <w:rPr>
          <w:spacing w:val="-5"/>
        </w:rPr>
      </w:pPr>
      <w:r w:rsidRPr="00F663AE">
        <w:rPr>
          <w:smallCaps/>
          <w:spacing w:val="-5"/>
          <w:sz w:val="16"/>
        </w:rPr>
        <w:t>M. Bertolino-A. Quadrio,</w:t>
      </w:r>
      <w:r w:rsidRPr="00F663AE">
        <w:rPr>
          <w:i/>
          <w:spacing w:val="-5"/>
        </w:rPr>
        <w:t xml:space="preserve"> Adulti e minori di fronte alla legge. Prospettive attuali di psicologia giuridica,</w:t>
      </w:r>
      <w:r w:rsidRPr="00F663AE">
        <w:rPr>
          <w:spacing w:val="-5"/>
        </w:rPr>
        <w:t xml:space="preserve"> EDUCatt, Milano, 2014. </w:t>
      </w:r>
      <w:r w:rsidR="00727895">
        <w:rPr>
          <w:spacing w:val="-5"/>
        </w:rPr>
        <w:t xml:space="preserve"> </w:t>
      </w:r>
      <w:hyperlink r:id="rId9" w:history="1">
        <w:r w:rsidR="00727895" w:rsidRPr="00727895">
          <w:rPr>
            <w:rStyle w:val="Collegamentoipertestuale"/>
            <w:rFonts w:ascii="Times New Roman" w:hAnsi="Times New Roman"/>
            <w:i/>
            <w:sz w:val="16"/>
            <w:szCs w:val="16"/>
          </w:rPr>
          <w:t>Acquista da VP</w:t>
        </w:r>
      </w:hyperlink>
      <w:bookmarkStart w:id="0" w:name="_GoBack"/>
      <w:bookmarkEnd w:id="0"/>
    </w:p>
    <w:p w14:paraId="6FC04A99" w14:textId="77777777" w:rsidR="00470D69" w:rsidRDefault="00470D69" w:rsidP="00470D69">
      <w:pPr>
        <w:pStyle w:val="Testo1"/>
        <w:spacing w:before="0" w:line="240" w:lineRule="atLeast"/>
        <w:rPr>
          <w:spacing w:val="-5"/>
        </w:rPr>
      </w:pPr>
      <w:r w:rsidRPr="00F663AE">
        <w:rPr>
          <w:smallCaps/>
          <w:spacing w:val="-5"/>
          <w:sz w:val="16"/>
        </w:rPr>
        <w:t>M. Bertolino,</w:t>
      </w:r>
      <w:r w:rsidRPr="00F663AE">
        <w:rPr>
          <w:i/>
          <w:spacing w:val="-5"/>
        </w:rPr>
        <w:t xml:space="preserve"> Convenzioni,</w:t>
      </w:r>
      <w:r w:rsidRPr="00F663AE">
        <w:rPr>
          <w:spacing w:val="-5"/>
        </w:rPr>
        <w:t xml:space="preserve"> </w:t>
      </w:r>
      <w:r w:rsidRPr="00F663AE">
        <w:rPr>
          <w:i/>
          <w:spacing w:val="-5"/>
        </w:rPr>
        <w:t>direttive e legislazione nazionale: un fronte comune di lotta contro i delitti a sfondo sessuale a danno di minori nella legge di ratifica n. 172/2012</w:t>
      </w:r>
      <w:r>
        <w:rPr>
          <w:spacing w:val="-5"/>
        </w:rPr>
        <w:t>, Giappichelli</w:t>
      </w:r>
      <w:r w:rsidR="00DD08BF">
        <w:rPr>
          <w:spacing w:val="-5"/>
        </w:rPr>
        <w:t xml:space="preserve"> E</w:t>
      </w:r>
      <w:r w:rsidR="00C51ACF">
        <w:rPr>
          <w:spacing w:val="-5"/>
        </w:rPr>
        <w:t>ditore</w:t>
      </w:r>
      <w:r>
        <w:rPr>
          <w:spacing w:val="-5"/>
        </w:rPr>
        <w:t>, Torino, 2014, 2</w:t>
      </w:r>
      <w:r>
        <w:rPr>
          <w:spacing w:val="-5"/>
          <w:vertAlign w:val="superscript"/>
        </w:rPr>
        <w:t>a</w:t>
      </w:r>
      <w:r w:rsidRPr="00F663AE">
        <w:rPr>
          <w:spacing w:val="-5"/>
        </w:rPr>
        <w:t xml:space="preserve"> edizione, e-book.</w:t>
      </w:r>
    </w:p>
    <w:p w14:paraId="3EFAC25F" w14:textId="77777777" w:rsidR="00470D69" w:rsidRPr="00470D69" w:rsidRDefault="00470D69" w:rsidP="00470D69">
      <w:pPr>
        <w:spacing w:before="240" w:after="120"/>
        <w:rPr>
          <w:b/>
          <w:i/>
          <w:sz w:val="18"/>
        </w:rPr>
      </w:pPr>
      <w:r>
        <w:rPr>
          <w:b/>
          <w:i/>
          <w:sz w:val="18"/>
        </w:rPr>
        <w:t>DIDATTICA DEL CORSO</w:t>
      </w:r>
    </w:p>
    <w:p w14:paraId="34FF9AD7" w14:textId="77777777" w:rsidR="00470D69" w:rsidRDefault="00470D69" w:rsidP="00470D69">
      <w:pPr>
        <w:pStyle w:val="Testo2"/>
      </w:pPr>
      <w:r w:rsidRPr="002D5FC4">
        <w:t>Lezioni in aula. Conferenze ed incontri con studiosi. Gli studenti interessati potranno inoltre partecipare a un ciclo organico di lezioni sulle Comunità educative nel sistema penale minorile, per il quale la Facoltà potrà prevedere il riconoscimento di crediti formativi.</w:t>
      </w:r>
    </w:p>
    <w:p w14:paraId="4CE40C43" w14:textId="77777777" w:rsidR="00470D69" w:rsidRDefault="00470D69" w:rsidP="00470D69">
      <w:pPr>
        <w:spacing w:before="240" w:after="120"/>
        <w:rPr>
          <w:b/>
          <w:i/>
          <w:sz w:val="18"/>
        </w:rPr>
      </w:pPr>
      <w:r>
        <w:rPr>
          <w:b/>
          <w:i/>
          <w:sz w:val="18"/>
        </w:rPr>
        <w:t>METODO E CRITERI DI VALUTAZIONE</w:t>
      </w:r>
    </w:p>
    <w:p w14:paraId="63B73E3B" w14:textId="77777777" w:rsidR="00470D69" w:rsidRDefault="00470D69" w:rsidP="00470D69">
      <w:pPr>
        <w:pStyle w:val="Testo2"/>
      </w:pPr>
      <w:r w:rsidRPr="002D5FC4">
        <w:t>L’esame, che si svolge in forma orale, per gli studenti che hanno frequentato con regolarità le lezioni verterà principalmente sugli argomenti trattati durante il corso, per gli studenti non frequentanti su quelli presenti nei testi indicati. La prova sarà articolata in domande su ciascuna delle due parti del corso e si concluderà con una valutazione in trentesimi, tenuto conto anche della capacità espositiva, argomentativa e critica del candidato.</w:t>
      </w:r>
    </w:p>
    <w:p w14:paraId="07DB39C0" w14:textId="77777777" w:rsidR="00470D69" w:rsidRPr="00470D69" w:rsidRDefault="00470D69" w:rsidP="00470D69">
      <w:pPr>
        <w:spacing w:before="240" w:after="120" w:line="240" w:lineRule="exact"/>
        <w:rPr>
          <w:b/>
          <w:i/>
          <w:sz w:val="18"/>
        </w:rPr>
      </w:pPr>
      <w:r>
        <w:rPr>
          <w:b/>
          <w:i/>
          <w:sz w:val="18"/>
        </w:rPr>
        <w:t>AVVERTENZE E PREREQUISITI</w:t>
      </w:r>
    </w:p>
    <w:p w14:paraId="004325D7" w14:textId="77777777" w:rsidR="00470D69" w:rsidRDefault="00470D69" w:rsidP="00470D69">
      <w:pPr>
        <w:pStyle w:val="Testo2"/>
      </w:pPr>
      <w:r w:rsidRPr="00B618DD">
        <w:t>Il corso</w:t>
      </w:r>
      <w:r>
        <w:t>, semestrale di trenta ore (CFU 5 con possibilità di integrazione di 1 CFU),</w:t>
      </w:r>
      <w:r w:rsidRPr="00B618DD">
        <w:t xml:space="preserve"> </w:t>
      </w:r>
      <w:r>
        <w:t xml:space="preserve">non richiede prerequisiti specifici, poiché si prevede di fornire le conoscenze di base in relazione a concetti fondamentali del diritto penale e del processo penale, in particolare di quello a carico di imputati minorenni. </w:t>
      </w:r>
    </w:p>
    <w:p w14:paraId="2B0F473A" w14:textId="77777777" w:rsidR="000D0CFB" w:rsidRDefault="000D0CFB" w:rsidP="000D0CFB">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042C56AA" w14:textId="77777777" w:rsidR="00470D69" w:rsidRPr="002D5FC4" w:rsidRDefault="00470D69" w:rsidP="00470D69">
      <w:pPr>
        <w:pStyle w:val="Testo2"/>
        <w:spacing w:before="120"/>
        <w:rPr>
          <w:i/>
        </w:rPr>
      </w:pPr>
      <w:r w:rsidRPr="002D5FC4">
        <w:rPr>
          <w:i/>
        </w:rPr>
        <w:t>Orario e luogo di ricevimento</w:t>
      </w:r>
    </w:p>
    <w:p w14:paraId="34056A69" w14:textId="77777777" w:rsidR="00470D69" w:rsidRPr="00470D69" w:rsidRDefault="00470D69" w:rsidP="00470D69">
      <w:pPr>
        <w:pStyle w:val="Testo2"/>
      </w:pPr>
      <w:r>
        <w:lastRenderedPageBreak/>
        <w:t xml:space="preserve">Il Prof. </w:t>
      </w:r>
      <w:r w:rsidR="00C51ACF">
        <w:t xml:space="preserve">Lara Ferla </w:t>
      </w:r>
      <w:r>
        <w:t xml:space="preserve">riceve gli studenti </w:t>
      </w:r>
      <w:r w:rsidR="00C51ACF">
        <w:t xml:space="preserve">secondo le indicazioni presenti nella pagina </w:t>
      </w:r>
      <w:r w:rsidR="00F51003" w:rsidRPr="00F51003">
        <w:rPr>
          <w:i/>
        </w:rPr>
        <w:t>web</w:t>
      </w:r>
      <w:r w:rsidR="00C51ACF">
        <w:t xml:space="preserve"> del docente. </w:t>
      </w:r>
    </w:p>
    <w:sectPr w:rsidR="00470D69" w:rsidRPr="00470D6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D8B94" w14:textId="77777777" w:rsidR="00727895" w:rsidRDefault="00727895" w:rsidP="00727895">
      <w:pPr>
        <w:spacing w:line="240" w:lineRule="auto"/>
      </w:pPr>
      <w:r>
        <w:separator/>
      </w:r>
    </w:p>
  </w:endnote>
  <w:endnote w:type="continuationSeparator" w:id="0">
    <w:p w14:paraId="4BFA0567" w14:textId="77777777" w:rsidR="00727895" w:rsidRDefault="00727895" w:rsidP="00727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1D7CF" w14:textId="77777777" w:rsidR="00727895" w:rsidRDefault="00727895" w:rsidP="00727895">
      <w:pPr>
        <w:spacing w:line="240" w:lineRule="auto"/>
      </w:pPr>
      <w:r>
        <w:separator/>
      </w:r>
    </w:p>
  </w:footnote>
  <w:footnote w:type="continuationSeparator" w:id="0">
    <w:p w14:paraId="7B477DFA" w14:textId="77777777" w:rsidR="00727895" w:rsidRDefault="00727895" w:rsidP="00727895">
      <w:pPr>
        <w:spacing w:line="240" w:lineRule="auto"/>
      </w:pPr>
      <w:r>
        <w:continuationSeparator/>
      </w:r>
    </w:p>
  </w:footnote>
  <w:footnote w:id="1">
    <w:p w14:paraId="130A1B3C" w14:textId="0B345243" w:rsidR="00727895" w:rsidRDefault="0072789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B1"/>
    <w:rsid w:val="00042625"/>
    <w:rsid w:val="000D0CFB"/>
    <w:rsid w:val="000D466C"/>
    <w:rsid w:val="00160ED4"/>
    <w:rsid w:val="00187B99"/>
    <w:rsid w:val="002014DD"/>
    <w:rsid w:val="002D5E17"/>
    <w:rsid w:val="00470D69"/>
    <w:rsid w:val="004D1217"/>
    <w:rsid w:val="004D6008"/>
    <w:rsid w:val="00640794"/>
    <w:rsid w:val="006F0C08"/>
    <w:rsid w:val="006F1772"/>
    <w:rsid w:val="00727895"/>
    <w:rsid w:val="0078546C"/>
    <w:rsid w:val="007855B1"/>
    <w:rsid w:val="008942E7"/>
    <w:rsid w:val="008A1204"/>
    <w:rsid w:val="008B0693"/>
    <w:rsid w:val="00900CCA"/>
    <w:rsid w:val="00924B77"/>
    <w:rsid w:val="00940DA2"/>
    <w:rsid w:val="00962DED"/>
    <w:rsid w:val="0098128B"/>
    <w:rsid w:val="009E055C"/>
    <w:rsid w:val="00A74F6F"/>
    <w:rsid w:val="00AA53F6"/>
    <w:rsid w:val="00AD7557"/>
    <w:rsid w:val="00AF37C3"/>
    <w:rsid w:val="00B50C5D"/>
    <w:rsid w:val="00B51253"/>
    <w:rsid w:val="00B525CC"/>
    <w:rsid w:val="00C51ACF"/>
    <w:rsid w:val="00D404F2"/>
    <w:rsid w:val="00DD08BF"/>
    <w:rsid w:val="00E607E6"/>
    <w:rsid w:val="00EF4C83"/>
    <w:rsid w:val="00F510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E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C51AC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C51ACF"/>
    <w:rPr>
      <w:rFonts w:ascii="Tahoma" w:hAnsi="Tahoma" w:cs="Tahoma"/>
      <w:sz w:val="16"/>
      <w:szCs w:val="16"/>
    </w:rPr>
  </w:style>
  <w:style w:type="paragraph" w:styleId="Testonotaapidipagina">
    <w:name w:val="footnote text"/>
    <w:basedOn w:val="Normale"/>
    <w:link w:val="TestonotaapidipaginaCarattere"/>
    <w:semiHidden/>
    <w:unhideWhenUsed/>
    <w:rsid w:val="0072789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27895"/>
  </w:style>
  <w:style w:type="character" w:styleId="Rimandonotaapidipagina">
    <w:name w:val="footnote reference"/>
    <w:basedOn w:val="Carpredefinitoparagrafo"/>
    <w:semiHidden/>
    <w:unhideWhenUsed/>
    <w:rsid w:val="00727895"/>
    <w:rPr>
      <w:vertAlign w:val="superscript"/>
    </w:rPr>
  </w:style>
  <w:style w:type="character" w:styleId="Collegamentoipertestuale">
    <w:name w:val="Hyperlink"/>
    <w:basedOn w:val="Carpredefinitoparagrafo"/>
    <w:unhideWhenUsed/>
    <w:rsid w:val="0072789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C51AC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C51ACF"/>
    <w:rPr>
      <w:rFonts w:ascii="Tahoma" w:hAnsi="Tahoma" w:cs="Tahoma"/>
      <w:sz w:val="16"/>
      <w:szCs w:val="16"/>
    </w:rPr>
  </w:style>
  <w:style w:type="paragraph" w:styleId="Testonotaapidipagina">
    <w:name w:val="footnote text"/>
    <w:basedOn w:val="Normale"/>
    <w:link w:val="TestonotaapidipaginaCarattere"/>
    <w:semiHidden/>
    <w:unhideWhenUsed/>
    <w:rsid w:val="0072789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27895"/>
  </w:style>
  <w:style w:type="character" w:styleId="Rimandonotaapidipagina">
    <w:name w:val="footnote reference"/>
    <w:basedOn w:val="Carpredefinitoparagrafo"/>
    <w:semiHidden/>
    <w:unhideWhenUsed/>
    <w:rsid w:val="00727895"/>
    <w:rPr>
      <w:vertAlign w:val="superscript"/>
    </w:rPr>
  </w:style>
  <w:style w:type="character" w:styleId="Collegamentoipertestuale">
    <w:name w:val="Hyperlink"/>
    <w:basedOn w:val="Carpredefinitoparagrafo"/>
    <w:unhideWhenUsed/>
    <w:rsid w:val="00727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ertolino-marta/il-minore-vittima-di-reato-9788834898239-173855.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ssunto-quadrio-marta-bertolino/adulti-e-minori-davanti-alla-legge-9788867801404-67442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1E973-2D74-4B7D-8A3B-5D29E30F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639</Words>
  <Characters>4009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2003-03-27T10:42:00Z</cp:lastPrinted>
  <dcterms:created xsi:type="dcterms:W3CDTF">2022-05-09T09:06:00Z</dcterms:created>
  <dcterms:modified xsi:type="dcterms:W3CDTF">2022-07-19T07:41:00Z</dcterms:modified>
</cp:coreProperties>
</file>