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97969" w14:textId="77777777" w:rsidR="002165C5" w:rsidRDefault="002165C5" w:rsidP="002165C5">
      <w:pPr>
        <w:pStyle w:val="Titolo1"/>
      </w:pPr>
      <w:r>
        <w:t>Diritto e logica della prova</w:t>
      </w:r>
    </w:p>
    <w:p w14:paraId="60C3855D" w14:textId="77777777" w:rsidR="002165C5" w:rsidRPr="002165C5" w:rsidRDefault="000D50BC" w:rsidP="002165C5">
      <w:pPr>
        <w:pStyle w:val="Titolo2"/>
      </w:pPr>
      <w:r>
        <w:t>P</w:t>
      </w:r>
      <w:r w:rsidR="002165C5" w:rsidRPr="002165C5">
        <w:t xml:space="preserve">rof. </w:t>
      </w:r>
      <w:r w:rsidR="008B4FBB">
        <w:t>Enrico Maria Mancuso</w:t>
      </w:r>
      <w:r w:rsidR="002165C5" w:rsidRPr="002165C5">
        <w:t xml:space="preserve">; </w:t>
      </w:r>
      <w:r>
        <w:t>P</w:t>
      </w:r>
      <w:r w:rsidR="002165C5" w:rsidRPr="002165C5">
        <w:t>rof. Ciro De Florio</w:t>
      </w:r>
    </w:p>
    <w:p w14:paraId="47E020EB" w14:textId="77777777" w:rsidR="002D5E17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7C5BB2EE" w14:textId="77777777" w:rsidR="002165C5" w:rsidRPr="002165C5" w:rsidRDefault="002165C5" w:rsidP="00F770A3">
      <w:pPr>
        <w:spacing w:line="240" w:lineRule="exact"/>
        <w:jc w:val="both"/>
        <w:rPr>
          <w:rFonts w:ascii="Times New Roman" w:hAnsi="Times New Roman"/>
          <w:sz w:val="20"/>
        </w:rPr>
      </w:pPr>
      <w:r w:rsidRPr="002165C5">
        <w:rPr>
          <w:rFonts w:ascii="Times New Roman" w:hAnsi="Times New Roman"/>
          <w:sz w:val="20"/>
        </w:rPr>
        <w:t>Il corso è diviso nei due moduli di Epistemologia giu</w:t>
      </w:r>
      <w:r w:rsidR="008B4FBB">
        <w:rPr>
          <w:rFonts w:ascii="Times New Roman" w:hAnsi="Times New Roman"/>
          <w:sz w:val="20"/>
        </w:rPr>
        <w:t>ridica</w:t>
      </w:r>
      <w:r w:rsidRPr="002165C5">
        <w:rPr>
          <w:rFonts w:ascii="Times New Roman" w:hAnsi="Times New Roman"/>
          <w:sz w:val="20"/>
        </w:rPr>
        <w:t xml:space="preserve"> e di Logica della prova.</w:t>
      </w:r>
    </w:p>
    <w:p w14:paraId="64EC5350" w14:textId="77777777" w:rsidR="008B4FBB" w:rsidRDefault="008B4FBB" w:rsidP="00F770A3">
      <w:pPr>
        <w:spacing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primo modulo sarà dedicato alla definizione dei metodi della conoscenza giuridica e alla individuazione delle finalità della verifica operata nel contesto giurisdizionale, con particolare attenzione al processo penale di cognizione.</w:t>
      </w:r>
    </w:p>
    <w:p w14:paraId="594511D5" w14:textId="77777777" w:rsidR="002165C5" w:rsidRPr="002165C5" w:rsidRDefault="002165C5" w:rsidP="00F770A3">
      <w:pPr>
        <w:spacing w:line="240" w:lineRule="exact"/>
        <w:jc w:val="both"/>
        <w:rPr>
          <w:rFonts w:ascii="Times New Roman" w:hAnsi="Times New Roman"/>
          <w:sz w:val="20"/>
        </w:rPr>
      </w:pPr>
      <w:r w:rsidRPr="002165C5">
        <w:rPr>
          <w:rFonts w:ascii="Times New Roman" w:hAnsi="Times New Roman"/>
          <w:sz w:val="20"/>
        </w:rPr>
        <w:t>Il secondo modulo contribuisce a caratterizzare in maniera rigorosa, in prospettiva logico-probabilistica, nozioni chiave del diritto quali prova, indizio, rilevanza probatoria, esperimento probatorio e conclusione probatoria.</w:t>
      </w:r>
    </w:p>
    <w:p w14:paraId="49C9F630" w14:textId="77777777" w:rsidR="002165C5" w:rsidRPr="00FA5122" w:rsidRDefault="002165C5" w:rsidP="00F770A3">
      <w:pPr>
        <w:spacing w:line="240" w:lineRule="exact"/>
        <w:jc w:val="both"/>
        <w:rPr>
          <w:rFonts w:ascii="Times New Roman" w:hAnsi="Times New Roman"/>
          <w:sz w:val="20"/>
        </w:rPr>
      </w:pPr>
      <w:r w:rsidRPr="002165C5">
        <w:rPr>
          <w:rFonts w:ascii="Times New Roman" w:hAnsi="Times New Roman"/>
          <w:sz w:val="20"/>
        </w:rPr>
        <w:t>Al termine del corso ci si aspetta il possesso di una buona conoscenza degli argomenti trattati e un’utilizzazione consape</w:t>
      </w:r>
      <w:r w:rsidR="00F770A3">
        <w:rPr>
          <w:rFonts w:ascii="Times New Roman" w:hAnsi="Times New Roman"/>
          <w:sz w:val="20"/>
        </w:rPr>
        <w:t>vole degli strumenti acquisiti.</w:t>
      </w:r>
    </w:p>
    <w:p w14:paraId="63F67929" w14:textId="77777777"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PROGRAMMA DEL CORSO</w:t>
      </w:r>
    </w:p>
    <w:p w14:paraId="0192FF0D" w14:textId="77777777" w:rsidR="002165C5" w:rsidRPr="002165C5" w:rsidRDefault="00C10F31" w:rsidP="00F770A3">
      <w:pPr>
        <w:spacing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Nella prima parte del corso, saranno analizzati i</w:t>
      </w:r>
      <w:r w:rsidR="002165C5" w:rsidRPr="002165C5">
        <w:rPr>
          <w:rFonts w:ascii="Times New Roman" w:hAnsi="Times New Roman"/>
          <w:sz w:val="20"/>
        </w:rPr>
        <w:t xml:space="preserve"> profili gnoseologici degli strumenti impiegati dal giudice e le conseguenti modalità</w:t>
      </w:r>
      <w:r>
        <w:rPr>
          <w:rFonts w:ascii="Times New Roman" w:hAnsi="Times New Roman"/>
          <w:sz w:val="20"/>
        </w:rPr>
        <w:t xml:space="preserve"> decisorie</w:t>
      </w:r>
      <w:r w:rsidR="002165C5" w:rsidRPr="002165C5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 xml:space="preserve">nello specifico, i </w:t>
      </w:r>
      <w:r w:rsidR="002165C5" w:rsidRPr="002165C5">
        <w:rPr>
          <w:rFonts w:ascii="Times New Roman" w:hAnsi="Times New Roman"/>
          <w:sz w:val="20"/>
        </w:rPr>
        <w:t xml:space="preserve">modelli processuali, </w:t>
      </w:r>
      <w:r>
        <w:rPr>
          <w:rFonts w:ascii="Times New Roman" w:hAnsi="Times New Roman"/>
          <w:sz w:val="20"/>
        </w:rPr>
        <w:t xml:space="preserve">la </w:t>
      </w:r>
      <w:r w:rsidR="002165C5" w:rsidRPr="002165C5">
        <w:rPr>
          <w:rFonts w:ascii="Times New Roman" w:hAnsi="Times New Roman"/>
          <w:sz w:val="20"/>
        </w:rPr>
        <w:t xml:space="preserve">verità giudiziale, </w:t>
      </w:r>
      <w:r>
        <w:rPr>
          <w:rFonts w:ascii="Times New Roman" w:hAnsi="Times New Roman"/>
          <w:sz w:val="20"/>
        </w:rPr>
        <w:t xml:space="preserve">la </w:t>
      </w:r>
      <w:r w:rsidR="002165C5" w:rsidRPr="002165C5">
        <w:rPr>
          <w:rFonts w:ascii="Times New Roman" w:hAnsi="Times New Roman"/>
          <w:sz w:val="20"/>
        </w:rPr>
        <w:t xml:space="preserve">neutralità metodologica del giudice, </w:t>
      </w:r>
      <w:r>
        <w:rPr>
          <w:rFonts w:ascii="Times New Roman" w:hAnsi="Times New Roman"/>
          <w:sz w:val="20"/>
        </w:rPr>
        <w:t>il concetto di prova</w:t>
      </w:r>
      <w:r w:rsidR="002165C5" w:rsidRPr="002165C5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l’</w:t>
      </w:r>
      <w:r w:rsidR="002165C5" w:rsidRPr="002165C5">
        <w:rPr>
          <w:rFonts w:ascii="Times New Roman" w:hAnsi="Times New Roman"/>
          <w:sz w:val="20"/>
        </w:rPr>
        <w:t xml:space="preserve">acquisizione e </w:t>
      </w:r>
      <w:r>
        <w:rPr>
          <w:rFonts w:ascii="Times New Roman" w:hAnsi="Times New Roman"/>
          <w:sz w:val="20"/>
        </w:rPr>
        <w:t xml:space="preserve">la </w:t>
      </w:r>
      <w:r w:rsidR="002165C5" w:rsidRPr="002165C5">
        <w:rPr>
          <w:rFonts w:ascii="Times New Roman" w:hAnsi="Times New Roman"/>
          <w:sz w:val="20"/>
        </w:rPr>
        <w:t xml:space="preserve">valutazione probatoria, </w:t>
      </w:r>
      <w:r>
        <w:rPr>
          <w:rFonts w:ascii="Times New Roman" w:hAnsi="Times New Roman"/>
          <w:sz w:val="20"/>
        </w:rPr>
        <w:t xml:space="preserve">le </w:t>
      </w:r>
      <w:r w:rsidR="002165C5" w:rsidRPr="002165C5">
        <w:rPr>
          <w:rFonts w:ascii="Times New Roman" w:hAnsi="Times New Roman"/>
          <w:sz w:val="20"/>
        </w:rPr>
        <w:t xml:space="preserve">regole di giudizio, </w:t>
      </w:r>
      <w:r>
        <w:rPr>
          <w:rFonts w:ascii="Times New Roman" w:hAnsi="Times New Roman"/>
          <w:sz w:val="20"/>
        </w:rPr>
        <w:t xml:space="preserve">la </w:t>
      </w:r>
      <w:r w:rsidR="002165C5" w:rsidRPr="002165C5">
        <w:rPr>
          <w:rFonts w:ascii="Times New Roman" w:hAnsi="Times New Roman"/>
          <w:sz w:val="20"/>
        </w:rPr>
        <w:t>motivazione della sentenza.</w:t>
      </w:r>
    </w:p>
    <w:p w14:paraId="7F4F5170" w14:textId="77777777" w:rsidR="002165C5" w:rsidRPr="002165C5" w:rsidRDefault="002165C5" w:rsidP="00F770A3">
      <w:pPr>
        <w:spacing w:line="240" w:lineRule="exact"/>
        <w:jc w:val="both"/>
        <w:rPr>
          <w:rFonts w:ascii="Times New Roman" w:hAnsi="Times New Roman"/>
          <w:sz w:val="20"/>
        </w:rPr>
      </w:pPr>
      <w:r w:rsidRPr="002165C5">
        <w:rPr>
          <w:rFonts w:ascii="Times New Roman" w:hAnsi="Times New Roman"/>
          <w:sz w:val="20"/>
        </w:rPr>
        <w:t>Nella seconda parte</w:t>
      </w:r>
      <w:r w:rsidR="00EB386B">
        <w:rPr>
          <w:rFonts w:ascii="Times New Roman" w:hAnsi="Times New Roman"/>
          <w:sz w:val="20"/>
        </w:rPr>
        <w:t>,</w:t>
      </w:r>
      <w:r w:rsidRPr="002165C5">
        <w:rPr>
          <w:rFonts w:ascii="Times New Roman" w:hAnsi="Times New Roman"/>
          <w:sz w:val="20"/>
        </w:rPr>
        <w:t xml:space="preserve"> verranno presi in considerazione il concetto generale di prova tra contesti scientifici e giuridici e il concetto di probabilità con le sue principali interpretazioni; si fornirà un’introduzione alla logica dell’inferenza probabile e infine si analizzerà il nesso di causa, la sua interpretazione controfattuale e il suo impiego nei procedimenti abduttivi.</w:t>
      </w:r>
    </w:p>
    <w:p w14:paraId="20F42CFA" w14:textId="77777777" w:rsidR="002165C5" w:rsidRPr="00FA5122" w:rsidRDefault="002165C5" w:rsidP="00F770A3">
      <w:pPr>
        <w:spacing w:line="240" w:lineRule="exact"/>
        <w:jc w:val="both"/>
        <w:rPr>
          <w:rFonts w:ascii="Times New Roman" w:hAnsi="Times New Roman"/>
          <w:sz w:val="20"/>
          <w:u w:val="single"/>
        </w:rPr>
      </w:pPr>
      <w:r w:rsidRPr="002165C5">
        <w:rPr>
          <w:rFonts w:ascii="Times New Roman" w:hAnsi="Times New Roman"/>
          <w:sz w:val="20"/>
        </w:rPr>
        <w:t>Aver sostenuto l’esame di Diritto e Logica della prova troverà riconoscimento, secondo le indicazioni contenute nel sito dei rispettivi insegnamenti, per gli esami relativi a Diritto amministrativo II, Diritto processuale civile e Diritto processuale penale.</w:t>
      </w:r>
    </w:p>
    <w:p w14:paraId="526E386E" w14:textId="659A7856"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BIBLIOGRAFIA</w:t>
      </w:r>
      <w:r w:rsidR="00E667D1">
        <w:rPr>
          <w:rStyle w:val="Rimandonotaapidipagina"/>
          <w:rFonts w:ascii="Times New Roman" w:hAnsi="Times New Roman"/>
          <w:b/>
          <w:i/>
          <w:sz w:val="18"/>
        </w:rPr>
        <w:footnoteReference w:id="1"/>
      </w:r>
    </w:p>
    <w:p w14:paraId="6977A3FB" w14:textId="4E7604B2" w:rsidR="00C10F31" w:rsidRDefault="00C10F31" w:rsidP="00416159">
      <w:pPr>
        <w:pStyle w:val="Testo1"/>
        <w:spacing w:before="0"/>
      </w:pPr>
      <w:r>
        <w:rPr>
          <w:rFonts w:eastAsia="Calibri"/>
        </w:rPr>
        <w:t xml:space="preserve">Le indicazioni bibliografiche </w:t>
      </w:r>
      <w:r w:rsidR="00133D2D">
        <w:rPr>
          <w:rFonts w:eastAsia="Calibri"/>
        </w:rPr>
        <w:t xml:space="preserve">per gli studenti frequentanti </w:t>
      </w:r>
      <w:r>
        <w:rPr>
          <w:rFonts w:eastAsia="Calibri"/>
        </w:rPr>
        <w:t xml:space="preserve">saranno fornite dai docenti all’inizio del corso. </w:t>
      </w:r>
    </w:p>
    <w:p w14:paraId="2DDAD416" w14:textId="63EC0355" w:rsidR="002165C5" w:rsidRPr="002165C5" w:rsidRDefault="00C10F31" w:rsidP="00416159">
      <w:pPr>
        <w:pStyle w:val="Testo1"/>
        <w:spacing w:before="0"/>
        <w:rPr>
          <w:u w:val="single"/>
        </w:rPr>
      </w:pPr>
      <w:r>
        <w:t xml:space="preserve">Gli studenti non frequentanti potranno condurre la preparazione </w:t>
      </w:r>
      <w:r w:rsidR="00A6154F">
        <w:t xml:space="preserve">sui testi </w:t>
      </w:r>
      <w:r>
        <w:t>di seguito indicat</w:t>
      </w:r>
      <w:r w:rsidR="00A6154F">
        <w:t>i</w:t>
      </w:r>
      <w:r>
        <w:t>:</w:t>
      </w:r>
    </w:p>
    <w:p w14:paraId="3F072C28" w14:textId="57B306D0" w:rsidR="002165C5" w:rsidRDefault="00C10F31" w:rsidP="00416159">
      <w:pPr>
        <w:pStyle w:val="Testo1"/>
        <w:numPr>
          <w:ilvl w:val="0"/>
          <w:numId w:val="1"/>
        </w:numPr>
        <w:spacing w:before="0"/>
      </w:pPr>
      <w:r>
        <w:rPr>
          <w:smallCaps/>
          <w:sz w:val="16"/>
        </w:rPr>
        <w:lastRenderedPageBreak/>
        <w:t>G. Tuzet</w:t>
      </w:r>
      <w:r w:rsidR="002165C5" w:rsidRPr="00FA5122">
        <w:t xml:space="preserve">, </w:t>
      </w:r>
      <w:r w:rsidRPr="00A6154F">
        <w:rPr>
          <w:i/>
          <w:iCs/>
          <w:sz w:val="16"/>
        </w:rPr>
        <w:t>Filosofia della prova giuridica</w:t>
      </w:r>
      <w:r w:rsidR="002165C5" w:rsidRPr="00FA5122">
        <w:t xml:space="preserve">, </w:t>
      </w:r>
      <w:r w:rsidRPr="00A6154F">
        <w:rPr>
          <w:sz w:val="16"/>
        </w:rPr>
        <w:t>Torino</w:t>
      </w:r>
      <w:r w:rsidR="002165C5" w:rsidRPr="00A6154F">
        <w:rPr>
          <w:sz w:val="16"/>
        </w:rPr>
        <w:t>, Gi</w:t>
      </w:r>
      <w:r w:rsidRPr="00A6154F">
        <w:rPr>
          <w:sz w:val="16"/>
        </w:rPr>
        <w:t>appichelli</w:t>
      </w:r>
      <w:r w:rsidR="002165C5" w:rsidRPr="00A6154F">
        <w:rPr>
          <w:sz w:val="16"/>
        </w:rPr>
        <w:t>, 201</w:t>
      </w:r>
      <w:r w:rsidR="001D5968" w:rsidRPr="00A6154F">
        <w:rPr>
          <w:sz w:val="16"/>
        </w:rPr>
        <w:t>6</w:t>
      </w:r>
      <w:r w:rsidR="002165C5">
        <w:t>.</w:t>
      </w:r>
      <w:r w:rsidR="00E667D1">
        <w:t xml:space="preserve"> </w:t>
      </w:r>
      <w:hyperlink r:id="rId9" w:history="1">
        <w:r w:rsidR="00E667D1" w:rsidRPr="00E667D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1B40400" w14:textId="31A574C5" w:rsidR="007B7EB6" w:rsidRDefault="00B55C97" w:rsidP="00416159">
      <w:pPr>
        <w:pStyle w:val="Testo1"/>
        <w:numPr>
          <w:ilvl w:val="0"/>
          <w:numId w:val="1"/>
        </w:numPr>
        <w:spacing w:before="0"/>
      </w:pPr>
      <w:r>
        <w:rPr>
          <w:smallCaps/>
          <w:sz w:val="16"/>
        </w:rPr>
        <w:t xml:space="preserve">A. Iacona, </w:t>
      </w:r>
      <w:r>
        <w:rPr>
          <w:i/>
          <w:iCs/>
          <w:sz w:val="16"/>
        </w:rPr>
        <w:t>L’argomentazione</w:t>
      </w:r>
      <w:r>
        <w:rPr>
          <w:sz w:val="16"/>
        </w:rPr>
        <w:t>, Torino, Einaudi</w:t>
      </w:r>
      <w:r w:rsidR="000554E5">
        <w:rPr>
          <w:sz w:val="16"/>
        </w:rPr>
        <w:t>, 2005.</w:t>
      </w:r>
      <w:r w:rsidR="00E667D1">
        <w:rPr>
          <w:sz w:val="16"/>
        </w:rPr>
        <w:t xml:space="preserve"> </w:t>
      </w:r>
      <w:hyperlink r:id="rId10" w:history="1">
        <w:r w:rsidR="00E667D1" w:rsidRPr="00E667D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5C878B9" w14:textId="77777777"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DIDATTICA DEL CORSO</w:t>
      </w:r>
    </w:p>
    <w:p w14:paraId="06CC2B0D" w14:textId="77777777" w:rsidR="002165C5" w:rsidRPr="002165C5" w:rsidRDefault="002165C5" w:rsidP="002165C5">
      <w:pPr>
        <w:pStyle w:val="Testo2"/>
      </w:pPr>
      <w:r w:rsidRPr="00FA5122">
        <w:t>Lezioni in aula.</w:t>
      </w:r>
    </w:p>
    <w:p w14:paraId="619C3D08" w14:textId="77777777"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METODO E CRITERI DI VALUTAZIONE</w:t>
      </w:r>
    </w:p>
    <w:p w14:paraId="41DE354C" w14:textId="77777777" w:rsidR="002165C5" w:rsidRPr="002165C5" w:rsidRDefault="002165C5" w:rsidP="002165C5">
      <w:pPr>
        <w:pStyle w:val="Testo2"/>
        <w:rPr>
          <w:szCs w:val="18"/>
        </w:rPr>
      </w:pPr>
      <w:r w:rsidRPr="002165C5">
        <w:rPr>
          <w:szCs w:val="18"/>
        </w:rPr>
        <w:t>Esame orale.</w:t>
      </w:r>
    </w:p>
    <w:p w14:paraId="04AF72D7" w14:textId="77777777" w:rsidR="002165C5" w:rsidRPr="002165C5" w:rsidRDefault="002165C5" w:rsidP="002165C5">
      <w:pPr>
        <w:pStyle w:val="Testo2"/>
        <w:rPr>
          <w:szCs w:val="18"/>
        </w:rPr>
      </w:pPr>
      <w:r w:rsidRPr="002165C5">
        <w:rPr>
          <w:szCs w:val="18"/>
        </w:rPr>
        <w:t>I criteri per la valutazione della prova orale riguardano la proprietà di linguaggio giuridico, la chiarezza espositiva, la correttezza dei contenuti espressi, la capacità di analisi e la comprensione dei nessi sistematici.</w:t>
      </w:r>
    </w:p>
    <w:p w14:paraId="59D5477E" w14:textId="77777777" w:rsidR="000D50BC" w:rsidRPr="002165C5" w:rsidRDefault="000D50BC" w:rsidP="000D50BC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AVVERTENZE E PREREQUISITI</w:t>
      </w:r>
    </w:p>
    <w:p w14:paraId="66249F1D" w14:textId="77777777" w:rsidR="000D50BC" w:rsidRPr="002165C5" w:rsidRDefault="000D50BC" w:rsidP="000D50BC">
      <w:pPr>
        <w:pStyle w:val="Testo2"/>
        <w:spacing w:before="120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P</w:t>
      </w:r>
      <w:r w:rsidRPr="002165C5">
        <w:rPr>
          <w:rFonts w:ascii="Times New Roman" w:hAnsi="Times New Roman"/>
          <w:i/>
          <w:szCs w:val="18"/>
        </w:rPr>
        <w:t>rerequisiti richiesti</w:t>
      </w:r>
    </w:p>
    <w:p w14:paraId="25F8FC6B" w14:textId="77777777" w:rsidR="000D50BC" w:rsidRPr="002165C5" w:rsidRDefault="000D50BC" w:rsidP="000D50BC">
      <w:pPr>
        <w:pStyle w:val="Testo2"/>
        <w:rPr>
          <w:szCs w:val="18"/>
        </w:rPr>
      </w:pPr>
      <w:r w:rsidRPr="002165C5">
        <w:rPr>
          <w:szCs w:val="18"/>
        </w:rPr>
        <w:t>Sono propedeutici agli esami dal III anno in poi quelli di Diritto costituzionale, Istituzioni di diritto romano e Istituzioni di diritto privato.</w:t>
      </w:r>
    </w:p>
    <w:p w14:paraId="5BF86964" w14:textId="79EC3B86" w:rsidR="002165C5" w:rsidRPr="002165C5" w:rsidRDefault="002165C5" w:rsidP="002165C5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2165C5">
        <w:rPr>
          <w:rFonts w:ascii="Times New Roman" w:hAnsi="Times New Roman"/>
          <w:i/>
          <w:szCs w:val="18"/>
        </w:rPr>
        <w:t>Orario e luogo di ricevimento</w:t>
      </w:r>
    </w:p>
    <w:p w14:paraId="63EFF6F8" w14:textId="7DCAA3E7" w:rsidR="002165C5" w:rsidRPr="002165C5" w:rsidRDefault="002165C5" w:rsidP="002165C5">
      <w:pPr>
        <w:pStyle w:val="Testo2"/>
        <w:rPr>
          <w:szCs w:val="18"/>
        </w:rPr>
      </w:pPr>
      <w:r w:rsidRPr="002165C5">
        <w:rPr>
          <w:szCs w:val="18"/>
        </w:rPr>
        <w:t xml:space="preserve">Prof. </w:t>
      </w:r>
      <w:r w:rsidR="001D5968">
        <w:rPr>
          <w:szCs w:val="18"/>
        </w:rPr>
        <w:t>Enrico Maria Mancuso</w:t>
      </w:r>
      <w:r w:rsidR="000D50BC">
        <w:rPr>
          <w:szCs w:val="18"/>
        </w:rPr>
        <w:t xml:space="preserve">: </w:t>
      </w:r>
      <w:r w:rsidR="00133D2D">
        <w:rPr>
          <w:szCs w:val="18"/>
        </w:rPr>
        <w:t>giovedì</w:t>
      </w:r>
      <w:r w:rsidR="001D5968">
        <w:rPr>
          <w:szCs w:val="18"/>
        </w:rPr>
        <w:t xml:space="preserve"> </w:t>
      </w:r>
      <w:r w:rsidR="000D50BC">
        <w:rPr>
          <w:szCs w:val="18"/>
        </w:rPr>
        <w:t>dalle 1</w:t>
      </w:r>
      <w:r w:rsidR="001D5968">
        <w:rPr>
          <w:szCs w:val="18"/>
        </w:rPr>
        <w:t>6</w:t>
      </w:r>
      <w:r w:rsidR="000D50BC">
        <w:rPr>
          <w:szCs w:val="18"/>
        </w:rPr>
        <w:t>,</w:t>
      </w:r>
      <w:r w:rsidRPr="002165C5">
        <w:rPr>
          <w:szCs w:val="18"/>
        </w:rPr>
        <w:t>30 nel Dipartimento di Scienze giuridiche.</w:t>
      </w:r>
    </w:p>
    <w:p w14:paraId="07E2798A" w14:textId="27169DEB" w:rsidR="002165C5" w:rsidRPr="002165C5" w:rsidRDefault="002165C5" w:rsidP="002165C5">
      <w:pPr>
        <w:pStyle w:val="Testo2"/>
        <w:rPr>
          <w:szCs w:val="18"/>
        </w:rPr>
      </w:pPr>
      <w:r w:rsidRPr="002165C5">
        <w:rPr>
          <w:szCs w:val="18"/>
        </w:rPr>
        <w:t>Prof. C</w:t>
      </w:r>
      <w:r w:rsidR="000D50BC">
        <w:rPr>
          <w:szCs w:val="18"/>
        </w:rPr>
        <w:t xml:space="preserve">iro De Florio: </w:t>
      </w:r>
      <w:r w:rsidR="000365DD">
        <w:rPr>
          <w:szCs w:val="18"/>
        </w:rPr>
        <w:t xml:space="preserve">su appuntamento presso il </w:t>
      </w:r>
      <w:r w:rsidRPr="002165C5">
        <w:rPr>
          <w:szCs w:val="18"/>
        </w:rPr>
        <w:t>Dipartimento di Filosofia.</w:t>
      </w:r>
    </w:p>
    <w:sectPr w:rsidR="002165C5" w:rsidRPr="002165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A572C" w14:textId="77777777" w:rsidR="00E667D1" w:rsidRDefault="00E667D1" w:rsidP="00E667D1">
      <w:r>
        <w:separator/>
      </w:r>
    </w:p>
  </w:endnote>
  <w:endnote w:type="continuationSeparator" w:id="0">
    <w:p w14:paraId="2D75A400" w14:textId="77777777" w:rsidR="00E667D1" w:rsidRDefault="00E667D1" w:rsidP="00E6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99FE9" w14:textId="77777777" w:rsidR="00E667D1" w:rsidRDefault="00E667D1" w:rsidP="00E667D1">
      <w:r>
        <w:separator/>
      </w:r>
    </w:p>
  </w:footnote>
  <w:footnote w:type="continuationSeparator" w:id="0">
    <w:p w14:paraId="100F28C5" w14:textId="77777777" w:rsidR="00E667D1" w:rsidRDefault="00E667D1" w:rsidP="00E667D1">
      <w:r>
        <w:continuationSeparator/>
      </w:r>
    </w:p>
  </w:footnote>
  <w:footnote w:id="1">
    <w:p w14:paraId="72076B08" w14:textId="550920D9" w:rsidR="00E667D1" w:rsidRDefault="00E667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7848"/>
    <w:multiLevelType w:val="hybridMultilevel"/>
    <w:tmpl w:val="46E2CB8E"/>
    <w:lvl w:ilvl="0" w:tplc="C60A192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C5"/>
    <w:rsid w:val="000365DD"/>
    <w:rsid w:val="000554E5"/>
    <w:rsid w:val="000D50BC"/>
    <w:rsid w:val="00133D2D"/>
    <w:rsid w:val="00146827"/>
    <w:rsid w:val="00187B99"/>
    <w:rsid w:val="00197DEB"/>
    <w:rsid w:val="001D5968"/>
    <w:rsid w:val="002014DD"/>
    <w:rsid w:val="002165C5"/>
    <w:rsid w:val="002D5E17"/>
    <w:rsid w:val="00416159"/>
    <w:rsid w:val="004D1217"/>
    <w:rsid w:val="004D6008"/>
    <w:rsid w:val="00640794"/>
    <w:rsid w:val="006F1772"/>
    <w:rsid w:val="007B7EB6"/>
    <w:rsid w:val="008942E7"/>
    <w:rsid w:val="008A1204"/>
    <w:rsid w:val="008B02D7"/>
    <w:rsid w:val="008B4FBB"/>
    <w:rsid w:val="00900CCA"/>
    <w:rsid w:val="00924B77"/>
    <w:rsid w:val="00940DA2"/>
    <w:rsid w:val="009E055C"/>
    <w:rsid w:val="00A6154F"/>
    <w:rsid w:val="00A74F6F"/>
    <w:rsid w:val="00AD7557"/>
    <w:rsid w:val="00B50C5D"/>
    <w:rsid w:val="00B51253"/>
    <w:rsid w:val="00B525CC"/>
    <w:rsid w:val="00B55C97"/>
    <w:rsid w:val="00C10F31"/>
    <w:rsid w:val="00C80935"/>
    <w:rsid w:val="00D404F2"/>
    <w:rsid w:val="00E607E6"/>
    <w:rsid w:val="00E667D1"/>
    <w:rsid w:val="00EB386B"/>
    <w:rsid w:val="00F12E92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63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65C5"/>
    <w:rPr>
      <w:rFonts w:ascii="Courier" w:hAnsi="Courier"/>
      <w:sz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C10F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10F3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E667D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67D1"/>
    <w:rPr>
      <w:rFonts w:ascii="Courier" w:hAnsi="Courier"/>
    </w:rPr>
  </w:style>
  <w:style w:type="character" w:styleId="Rimandonotaapidipagina">
    <w:name w:val="footnote reference"/>
    <w:basedOn w:val="Carpredefinitoparagrafo"/>
    <w:rsid w:val="00E667D1"/>
    <w:rPr>
      <w:vertAlign w:val="superscript"/>
    </w:rPr>
  </w:style>
  <w:style w:type="character" w:styleId="Collegamentoipertestuale">
    <w:name w:val="Hyperlink"/>
    <w:basedOn w:val="Carpredefinitoparagrafo"/>
    <w:rsid w:val="00E667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65C5"/>
    <w:rPr>
      <w:rFonts w:ascii="Courier" w:hAnsi="Courier"/>
      <w:sz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C10F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10F3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E667D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67D1"/>
    <w:rPr>
      <w:rFonts w:ascii="Courier" w:hAnsi="Courier"/>
    </w:rPr>
  </w:style>
  <w:style w:type="character" w:styleId="Rimandonotaapidipagina">
    <w:name w:val="footnote reference"/>
    <w:basedOn w:val="Carpredefinitoparagrafo"/>
    <w:rsid w:val="00E667D1"/>
    <w:rPr>
      <w:vertAlign w:val="superscript"/>
    </w:rPr>
  </w:style>
  <w:style w:type="character" w:styleId="Collegamentoipertestuale">
    <w:name w:val="Hyperlink"/>
    <w:basedOn w:val="Carpredefinitoparagrafo"/>
    <w:rsid w:val="00E66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drea-iacona/largomentazione-9788806206147-31872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ovanni-tuzet/filosofia-della-prova-giuridica-9788892104327-68316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F57B-FF80-4021-BAF6-286A01E3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407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2022-04-26T06:34:00Z</dcterms:created>
  <dcterms:modified xsi:type="dcterms:W3CDTF">2022-07-19T08:34:00Z</dcterms:modified>
</cp:coreProperties>
</file>