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3E50" w14:textId="77777777" w:rsidR="0069772C" w:rsidRPr="00D50E66" w:rsidRDefault="0069772C" w:rsidP="0069772C">
      <w:pPr>
        <w:pStyle w:val="Titolo1"/>
        <w:ind w:left="0" w:firstLine="0"/>
      </w:pPr>
      <w:r>
        <w:t>Diritto commerciale comparato</w:t>
      </w:r>
    </w:p>
    <w:p w14:paraId="1F6C24C8" w14:textId="77777777" w:rsidR="0069772C" w:rsidRDefault="0069772C" w:rsidP="0069772C">
      <w:pPr>
        <w:pStyle w:val="Titolo2"/>
      </w:pPr>
      <w:bookmarkStart w:id="0" w:name="_Toc425850390"/>
      <w:bookmarkStart w:id="1" w:name="_Toc457287488"/>
      <w:r w:rsidRPr="006C5B7E">
        <w:t xml:space="preserve">Prof. </w:t>
      </w:r>
      <w:bookmarkEnd w:id="0"/>
      <w:bookmarkEnd w:id="1"/>
      <w:r>
        <w:t>Vincenzo Cariello</w:t>
      </w:r>
    </w:p>
    <w:p w14:paraId="12CBDC75" w14:textId="77777777" w:rsidR="002D5E17" w:rsidRDefault="0069772C" w:rsidP="0069772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1D53924" w14:textId="77777777" w:rsidR="0069772C" w:rsidRDefault="0069772C" w:rsidP="0069772C">
      <w:pPr>
        <w:spacing w:line="240" w:lineRule="exact"/>
        <w:rPr>
          <w:rFonts w:ascii="Times" w:hAnsi="Times"/>
          <w:noProof/>
          <w:szCs w:val="20"/>
        </w:rPr>
      </w:pPr>
      <w:r w:rsidRPr="0069772C">
        <w:rPr>
          <w:rFonts w:ascii="Times" w:hAnsi="Times"/>
          <w:i/>
          <w:noProof/>
          <w:szCs w:val="20"/>
        </w:rPr>
        <w:t>Prima parte</w:t>
      </w:r>
      <w:r>
        <w:rPr>
          <w:rFonts w:ascii="Times" w:hAnsi="Times"/>
          <w:noProof/>
          <w:szCs w:val="20"/>
        </w:rPr>
        <w:t>: Teoria e metodi della comparazione: la funzione intepretativa del diritto comparato (ottobre – dicembre).</w:t>
      </w:r>
    </w:p>
    <w:p w14:paraId="5BFDDC3D" w14:textId="77777777" w:rsidR="0069772C" w:rsidRDefault="0069772C" w:rsidP="0069772C">
      <w:pPr>
        <w:spacing w:before="120" w:after="120" w:line="240" w:lineRule="exact"/>
        <w:rPr>
          <w:rFonts w:ascii="Times" w:hAnsi="Times"/>
          <w:noProof/>
          <w:szCs w:val="20"/>
        </w:rPr>
      </w:pPr>
      <w:r w:rsidRPr="0069772C">
        <w:rPr>
          <w:rFonts w:ascii="Times" w:hAnsi="Times"/>
          <w:i/>
          <w:noProof/>
          <w:szCs w:val="20"/>
        </w:rPr>
        <w:t>Seconda parte</w:t>
      </w:r>
      <w:r>
        <w:rPr>
          <w:rFonts w:ascii="Times" w:hAnsi="Times"/>
          <w:noProof/>
          <w:szCs w:val="20"/>
        </w:rPr>
        <w:t>: Diritto comparato della corporate governance (marzo –maggio).</w:t>
      </w:r>
    </w:p>
    <w:p w14:paraId="34F6F8E9" w14:textId="77777777" w:rsidR="0069772C" w:rsidRPr="00072388" w:rsidRDefault="0069772C" w:rsidP="0069772C">
      <w:pPr>
        <w:rPr>
          <w:noProof/>
        </w:rPr>
      </w:pPr>
      <w:r w:rsidRPr="00072388">
        <w:rPr>
          <w:noProof/>
        </w:rPr>
        <w:t>Ricostruzione comparata degli elementi essenziali dei diritti societari di alcuni ordinamenti stranieri</w:t>
      </w:r>
      <w:r>
        <w:rPr>
          <w:noProof/>
        </w:rPr>
        <w:t xml:space="preserve"> (con precipua attenzione a: Germania, Svizzera, Francia, USA)</w:t>
      </w:r>
      <w:r w:rsidRPr="00072388">
        <w:rPr>
          <w:noProof/>
        </w:rPr>
        <w:t>; identificazione e soluzioni dei principali problemi comuni, anche in funzione dell’impiego di tali soluzioni ai fini dell’interpretazione e dell’applicazione del diritto societario italiano.</w:t>
      </w:r>
    </w:p>
    <w:p w14:paraId="01B7D9F1" w14:textId="77777777" w:rsidR="0069772C" w:rsidRDefault="0069772C" w:rsidP="0069772C">
      <w:pPr>
        <w:spacing w:line="240" w:lineRule="exact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t>A tal fine, dopo la trattazione di profili fondamentali della c.d. teoria della comparazione, con specifica funzionalizzazione ai “metodi” del diritto commerciale comparato</w:t>
      </w:r>
      <w:r>
        <w:rPr>
          <w:rFonts w:ascii="Times" w:hAnsi="Times"/>
          <w:noProof/>
          <w:szCs w:val="20"/>
        </w:rPr>
        <w:t xml:space="preserve"> e alle tecniche interpretative/argomentative del e nel diritto comparato</w:t>
      </w:r>
      <w:r w:rsidRPr="00072388">
        <w:rPr>
          <w:rFonts w:ascii="Times" w:hAnsi="Times"/>
          <w:noProof/>
          <w:szCs w:val="20"/>
        </w:rPr>
        <w:t xml:space="preserve">, saranno identificati </w:t>
      </w:r>
      <w:r w:rsidRPr="00072388">
        <w:rPr>
          <w:rFonts w:ascii="Times" w:hAnsi="Times"/>
          <w:i/>
          <w:noProof/>
          <w:szCs w:val="20"/>
        </w:rPr>
        <w:t>leading cases</w:t>
      </w:r>
      <w:r w:rsidRPr="00072388">
        <w:rPr>
          <w:rFonts w:ascii="Times" w:hAnsi="Times"/>
          <w:noProof/>
          <w:szCs w:val="20"/>
        </w:rPr>
        <w:t xml:space="preserve"> giurisprudenziali di quattro differenti ordinamenti (tedesco, statunitense, francese, </w:t>
      </w:r>
      <w:r>
        <w:rPr>
          <w:rFonts w:ascii="Times" w:hAnsi="Times"/>
          <w:noProof/>
          <w:szCs w:val="20"/>
        </w:rPr>
        <w:t xml:space="preserve">svizzero </w:t>
      </w:r>
      <w:r w:rsidRPr="00072388">
        <w:rPr>
          <w:rFonts w:ascii="Times" w:hAnsi="Times"/>
          <w:noProof/>
          <w:szCs w:val="20"/>
        </w:rPr>
        <w:t>italiano) e, tramite un’analisi comparata, si procederà a evidenziare convergenze/divergenze nella metodologia argomentativa dei giudici dei corrispondenti Paesi.</w:t>
      </w:r>
    </w:p>
    <w:p w14:paraId="0530971F" w14:textId="683D2881" w:rsidR="0069772C" w:rsidRDefault="0069772C" w:rsidP="0069772C">
      <w:pPr>
        <w:spacing w:line="240" w:lineRule="exact"/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Gli obiettivi, la metodologia di esposizione frontale e il materiale didattico indentificato sono pensati e organizzati in funzione di esiti di apprendimento idonei a riflettere e attestare l’acquisizione di metologie, di metodi, di tecniche e di approcci ermeneutici critici e sensibilizzati alla riflessione sulle divergenze e convergenze tra diversi ordinamenti giuridici e al loro impiego in funzione dell’intepretazione di cc.dd. aree sensibili del diritto societario domestico (italiano).</w:t>
      </w:r>
    </w:p>
    <w:p w14:paraId="7B791E57" w14:textId="77777777" w:rsidR="00FB7E48" w:rsidRDefault="00FB7E48" w:rsidP="00FB7E48">
      <w:pPr>
        <w:spacing w:line="240" w:lineRule="exact"/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I risultati di apprendimento attesi sono identificati, essenzialmente, nell’acquisizione, da parte degli studenti, di metodologie di ragionamento interpretativo idonei a essere impiegati al fine di interpretare alcuni dei più “rappresentativi” diritti societari nazionali (segnatamente, Italia, USA, Germania, Francia, Svizzera).</w:t>
      </w:r>
    </w:p>
    <w:p w14:paraId="342225F4" w14:textId="77777777" w:rsidR="0069772C" w:rsidRDefault="0069772C" w:rsidP="0069772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D16DA20" w14:textId="77777777" w:rsidR="0069772C" w:rsidRPr="00072388" w:rsidRDefault="0069772C" w:rsidP="00E33361">
      <w:pPr>
        <w:spacing w:before="120"/>
        <w:rPr>
          <w:i/>
          <w:szCs w:val="20"/>
        </w:rPr>
      </w:pPr>
      <w:r w:rsidRPr="00E33361">
        <w:rPr>
          <w:rFonts w:ascii="Times" w:hAnsi="Times"/>
          <w:smallCaps/>
          <w:noProof/>
          <w:sz w:val="18"/>
          <w:szCs w:val="20"/>
        </w:rPr>
        <w:t>Parte prima:</w:t>
      </w:r>
      <w:r>
        <w:rPr>
          <w:rFonts w:ascii="Times" w:hAnsi="Times"/>
          <w:smallCaps/>
          <w:noProof/>
          <w:sz w:val="18"/>
          <w:szCs w:val="20"/>
        </w:rPr>
        <w:t xml:space="preserve"> </w:t>
      </w:r>
      <w:r w:rsidRPr="00072388">
        <w:rPr>
          <w:i/>
          <w:szCs w:val="20"/>
        </w:rPr>
        <w:t xml:space="preserve">Dal diritto privato comparato al diritto commerciale comparato </w:t>
      </w:r>
      <w:r>
        <w:rPr>
          <w:i/>
          <w:szCs w:val="20"/>
        </w:rPr>
        <w:t>al diritto societario c.d. comunitario (metodi</w:t>
      </w:r>
      <w:r w:rsidRPr="00072388">
        <w:rPr>
          <w:i/>
          <w:szCs w:val="20"/>
        </w:rPr>
        <w:t xml:space="preserve"> e funzione</w:t>
      </w:r>
      <w:r>
        <w:rPr>
          <w:i/>
          <w:szCs w:val="20"/>
        </w:rPr>
        <w:t xml:space="preserve"> interpretativa</w:t>
      </w:r>
      <w:r w:rsidRPr="00072388">
        <w:rPr>
          <w:i/>
          <w:szCs w:val="20"/>
        </w:rPr>
        <w:t xml:space="preserve"> del diritto commerciale comparato</w:t>
      </w:r>
      <w:r>
        <w:rPr>
          <w:i/>
          <w:szCs w:val="20"/>
        </w:rPr>
        <w:t xml:space="preserve"> e del diritto societario c.d. comunitario</w:t>
      </w:r>
      <w:r w:rsidRPr="00072388">
        <w:rPr>
          <w:i/>
          <w:szCs w:val="20"/>
        </w:rPr>
        <w:t>)</w:t>
      </w:r>
    </w:p>
    <w:p w14:paraId="10BAB5B6" w14:textId="77777777" w:rsidR="0069772C" w:rsidRPr="00072388" w:rsidRDefault="0069772C" w:rsidP="0069772C">
      <w:pPr>
        <w:ind w:left="284" w:hanging="284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t>–</w:t>
      </w:r>
      <w:r w:rsidRPr="00072388">
        <w:rPr>
          <w:rFonts w:ascii="Times" w:hAnsi="Times"/>
          <w:noProof/>
          <w:szCs w:val="20"/>
        </w:rPr>
        <w:tab/>
        <w:t>Diritto privato comparato e diritto commerciale comparato.</w:t>
      </w:r>
    </w:p>
    <w:p w14:paraId="65D9CC29" w14:textId="77777777" w:rsidR="0069772C" w:rsidRPr="00072388" w:rsidRDefault="0069772C" w:rsidP="0069772C">
      <w:pPr>
        <w:ind w:left="284" w:hanging="284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lastRenderedPageBreak/>
        <w:t>–</w:t>
      </w:r>
      <w:r w:rsidRPr="00072388">
        <w:rPr>
          <w:rFonts w:ascii="Times" w:hAnsi="Times"/>
          <w:noProof/>
          <w:szCs w:val="20"/>
        </w:rPr>
        <w:tab/>
        <w:t>Diritto commerciale comparato, diritto internazionale comparato, diritto commerciale comunitario e internazionale.</w:t>
      </w:r>
    </w:p>
    <w:p w14:paraId="6F7A3C90" w14:textId="77777777" w:rsidR="0069772C" w:rsidRPr="00072388" w:rsidRDefault="0069772C" w:rsidP="0069772C">
      <w:pPr>
        <w:ind w:left="284" w:hanging="284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t>–</w:t>
      </w:r>
      <w:r w:rsidRPr="00072388">
        <w:rPr>
          <w:rFonts w:ascii="Times" w:hAnsi="Times"/>
          <w:noProof/>
          <w:szCs w:val="20"/>
        </w:rPr>
        <w:tab/>
        <w:t>Metodologia del diritto commerciale comparato.</w:t>
      </w:r>
    </w:p>
    <w:p w14:paraId="3F72459E" w14:textId="77777777" w:rsidR="0069772C" w:rsidRPr="00072388" w:rsidRDefault="0069772C" w:rsidP="0069772C">
      <w:pPr>
        <w:ind w:left="284" w:hanging="284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t>–</w:t>
      </w:r>
      <w:r w:rsidRPr="00072388">
        <w:rPr>
          <w:rFonts w:ascii="Times" w:hAnsi="Times"/>
          <w:noProof/>
          <w:szCs w:val="20"/>
        </w:rPr>
        <w:tab/>
        <w:t>Funzioni del diritto commerciale comparato (c.d. uso interpretativo del diritto comparato).</w:t>
      </w:r>
    </w:p>
    <w:p w14:paraId="1DE5880E" w14:textId="0DA087B2" w:rsidR="0069772C" w:rsidRDefault="0069772C" w:rsidP="0069772C">
      <w:pPr>
        <w:ind w:left="284" w:hanging="284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t>–</w:t>
      </w:r>
      <w:r w:rsidRPr="00072388">
        <w:rPr>
          <w:rFonts w:ascii="Times" w:hAnsi="Times"/>
          <w:noProof/>
          <w:szCs w:val="20"/>
        </w:rPr>
        <w:tab/>
        <w:t>Interpretazioni del</w:t>
      </w:r>
      <w:r>
        <w:rPr>
          <w:rFonts w:ascii="Times" w:hAnsi="Times"/>
          <w:noProof/>
          <w:szCs w:val="20"/>
        </w:rPr>
        <w:t xml:space="preserve"> e nel</w:t>
      </w:r>
      <w:r w:rsidRPr="00072388">
        <w:rPr>
          <w:rFonts w:ascii="Times" w:hAnsi="Times"/>
          <w:noProof/>
          <w:szCs w:val="20"/>
        </w:rPr>
        <w:t xml:space="preserve"> diritto commerciale comparato.</w:t>
      </w:r>
      <w:r>
        <w:rPr>
          <w:rFonts w:ascii="Times" w:hAnsi="Times"/>
          <w:noProof/>
          <w:szCs w:val="20"/>
        </w:rPr>
        <w:t xml:space="preserve"> Leggi e strategie intepretative del e nel diritto commerciale comparato. Leggi e strategie interpretative del diritto societario c.d. comunitario.</w:t>
      </w:r>
    </w:p>
    <w:p w14:paraId="3FA2DDC5" w14:textId="589E06BB" w:rsidR="00FB7E48" w:rsidRPr="00072388" w:rsidRDefault="00FB7E48" w:rsidP="00FB7E48">
      <w:pPr>
        <w:ind w:left="284" w:hanging="284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t>–</w:t>
      </w:r>
      <w:r w:rsidRPr="00072388">
        <w:rPr>
          <w:rFonts w:ascii="Times" w:hAnsi="Times"/>
          <w:noProof/>
          <w:szCs w:val="20"/>
        </w:rPr>
        <w:tab/>
      </w:r>
      <w:r>
        <w:rPr>
          <w:rFonts w:ascii="Times" w:hAnsi="Times"/>
          <w:noProof/>
          <w:szCs w:val="20"/>
        </w:rPr>
        <w:t>Le Corti Supreme nazionali e l’interpretazione normativa, con riguardo anche al diritto societario comparato: la trasversalità delle tecniche di interpretazione.</w:t>
      </w:r>
    </w:p>
    <w:p w14:paraId="09A149C5" w14:textId="77777777" w:rsidR="0069772C" w:rsidRPr="0069772C" w:rsidRDefault="0069772C" w:rsidP="00E33361">
      <w:pPr>
        <w:spacing w:before="120"/>
        <w:rPr>
          <w:rFonts w:ascii="Times" w:hAnsi="Times"/>
          <w:i/>
          <w:noProof/>
          <w:szCs w:val="20"/>
        </w:rPr>
      </w:pPr>
      <w:r w:rsidRPr="00E33361">
        <w:rPr>
          <w:rFonts w:ascii="Times" w:hAnsi="Times"/>
          <w:smallCaps/>
          <w:noProof/>
          <w:sz w:val="18"/>
          <w:szCs w:val="18"/>
        </w:rPr>
        <w:t>Parte seconda:</w:t>
      </w:r>
      <w:r w:rsidRPr="00E33361">
        <w:rPr>
          <w:i/>
          <w:szCs w:val="20"/>
        </w:rPr>
        <w:t xml:space="preserve"> Comparative corporate governance</w:t>
      </w:r>
    </w:p>
    <w:p w14:paraId="0B97C563" w14:textId="77777777" w:rsidR="0069772C" w:rsidRPr="00072388" w:rsidRDefault="0069772C" w:rsidP="0069772C">
      <w:pPr>
        <w:ind w:left="284" w:hanging="284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t>–</w:t>
      </w:r>
      <w:r w:rsidRPr="00072388">
        <w:rPr>
          <w:rFonts w:ascii="Times" w:hAnsi="Times"/>
          <w:noProof/>
          <w:szCs w:val="20"/>
        </w:rPr>
        <w:tab/>
        <w:t xml:space="preserve">Gestione e </w:t>
      </w:r>
      <w:r>
        <w:rPr>
          <w:rFonts w:ascii="Times" w:hAnsi="Times"/>
          <w:noProof/>
          <w:szCs w:val="20"/>
        </w:rPr>
        <w:t>vigilanza nelle e delle società (funzioni – competenze</w:t>
      </w:r>
      <w:r w:rsidR="00E33361">
        <w:rPr>
          <w:rFonts w:ascii="Times" w:hAnsi="Times"/>
          <w:noProof/>
          <w:szCs w:val="20"/>
        </w:rPr>
        <w:t xml:space="preserve"> – </w:t>
      </w:r>
      <w:r>
        <w:rPr>
          <w:rFonts w:ascii="Times" w:hAnsi="Times"/>
          <w:noProof/>
          <w:szCs w:val="20"/>
        </w:rPr>
        <w:t>poteri – responsabilità).</w:t>
      </w:r>
    </w:p>
    <w:p w14:paraId="587C30FE" w14:textId="77777777" w:rsidR="0069772C" w:rsidRPr="00072388" w:rsidRDefault="0069772C" w:rsidP="0069772C">
      <w:pPr>
        <w:ind w:left="284" w:hanging="284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t>–</w:t>
      </w:r>
      <w:r w:rsidRPr="00072388">
        <w:rPr>
          <w:rFonts w:ascii="Times" w:hAnsi="Times"/>
          <w:noProof/>
          <w:szCs w:val="20"/>
        </w:rPr>
        <w:tab/>
      </w:r>
      <w:r>
        <w:rPr>
          <w:rFonts w:ascii="Times" w:hAnsi="Times"/>
          <w:noProof/>
          <w:szCs w:val="20"/>
        </w:rPr>
        <w:t>Diritti degli azionisti (tecniche di partecipazione e tecniche di tutela).</w:t>
      </w:r>
    </w:p>
    <w:p w14:paraId="2F706BCC" w14:textId="77777777" w:rsidR="0069772C" w:rsidRPr="00072388" w:rsidRDefault="0069772C" w:rsidP="0069772C">
      <w:pPr>
        <w:ind w:left="284" w:hanging="284"/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–</w:t>
      </w:r>
      <w:r w:rsidRPr="00072388">
        <w:rPr>
          <w:rFonts w:ascii="Times" w:hAnsi="Times"/>
          <w:noProof/>
          <w:szCs w:val="20"/>
        </w:rPr>
        <w:tab/>
      </w:r>
      <w:r>
        <w:rPr>
          <w:rFonts w:ascii="Times" w:hAnsi="Times"/>
          <w:noProof/>
          <w:szCs w:val="20"/>
        </w:rPr>
        <w:t>Controllo e gruppi di società e imprese.</w:t>
      </w:r>
    </w:p>
    <w:p w14:paraId="06E43DB1" w14:textId="77777777" w:rsidR="0069772C" w:rsidRPr="00E33361" w:rsidRDefault="0069772C" w:rsidP="00E3336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7D1F54D6" w14:textId="77777777" w:rsidR="005273D9" w:rsidRPr="00B83E64" w:rsidRDefault="0069772C" w:rsidP="00B83E64">
      <w:pPr>
        <w:pStyle w:val="Testo1"/>
        <w:spacing w:before="0"/>
      </w:pPr>
      <w:r w:rsidRPr="00B83E64">
        <w:t>Per la preparazione del</w:t>
      </w:r>
      <w:r w:rsidR="005273D9" w:rsidRPr="00B83E64">
        <w:t>l’esame</w:t>
      </w:r>
      <w:r w:rsidR="003D2470" w:rsidRPr="00B83E64">
        <w:t xml:space="preserve"> (frequentanti e non frequentanti)</w:t>
      </w:r>
      <w:r w:rsidR="005273D9" w:rsidRPr="00B83E64">
        <w:t>:</w:t>
      </w:r>
    </w:p>
    <w:p w14:paraId="35B61675" w14:textId="55E73220" w:rsidR="005273D9" w:rsidRPr="00B83E64" w:rsidRDefault="005273D9" w:rsidP="00B83E64">
      <w:pPr>
        <w:pStyle w:val="Testo1"/>
        <w:spacing w:before="0"/>
      </w:pPr>
      <w:r w:rsidRPr="00B83E64">
        <w:rPr>
          <w:smallCaps/>
          <w:sz w:val="16"/>
        </w:rPr>
        <w:t xml:space="preserve">V. </w:t>
      </w:r>
      <w:r w:rsidR="00FB7E48">
        <w:rPr>
          <w:smallCaps/>
          <w:sz w:val="16"/>
        </w:rPr>
        <w:t>C</w:t>
      </w:r>
      <w:r w:rsidR="00FB7E48" w:rsidRPr="00B83E64">
        <w:rPr>
          <w:smallCaps/>
          <w:sz w:val="16"/>
        </w:rPr>
        <w:t>ariello</w:t>
      </w:r>
      <w:r w:rsidRPr="00B83E64">
        <w:t xml:space="preserve">, </w:t>
      </w:r>
      <w:r w:rsidRPr="00B83E64">
        <w:rPr>
          <w:i/>
          <w:iCs/>
        </w:rPr>
        <w:t>Paradigmi e linguaggi interpretativi. Il diritto societario tra “interpretazione” e “applicazione”: saggi di ermeneutica giuridica</w:t>
      </w:r>
      <w:r w:rsidRPr="00B83E64">
        <w:t xml:space="preserve">, Giappichelli, 2022. </w:t>
      </w:r>
    </w:p>
    <w:p w14:paraId="7B358987" w14:textId="77777777" w:rsidR="005273D9" w:rsidRPr="00B83E64" w:rsidRDefault="005273D9" w:rsidP="00B83E64">
      <w:pPr>
        <w:pStyle w:val="Testo1"/>
        <w:spacing w:before="0"/>
      </w:pPr>
      <w:r w:rsidRPr="00B83E64">
        <w:t xml:space="preserve">Si evidenzia che i frequentanti beneficeranno, tramite l’ascolto e la interrelazione stabiliti a lezione, di un percorso di esplicitazione e “accompagnamento” di quanto esposto nel testo indicato per la prepazione dell’esame. </w:t>
      </w:r>
    </w:p>
    <w:p w14:paraId="5C74C0F3" w14:textId="77777777" w:rsidR="0069772C" w:rsidRDefault="0069772C" w:rsidP="0069772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61B0D09" w14:textId="77777777" w:rsidR="0069772C" w:rsidRDefault="0069772C" w:rsidP="0069772C">
      <w:pPr>
        <w:pStyle w:val="Testo2"/>
      </w:pPr>
      <w:r w:rsidRPr="00072388">
        <w:t>Le</w:t>
      </w:r>
      <w:r>
        <w:t xml:space="preserve"> </w:t>
      </w:r>
      <w:r w:rsidRPr="00072388">
        <w:t>due parti del corso si svolgono secondo la metodologie delle lezioni cc.dd. frontali, organizzate in modo da favorire la discussione e gli interventi da parte degli studenti</w:t>
      </w:r>
      <w:r>
        <w:t>.</w:t>
      </w:r>
      <w:r w:rsidR="005273D9">
        <w:t xml:space="preserve"> </w:t>
      </w:r>
    </w:p>
    <w:p w14:paraId="7E32276A" w14:textId="1CF489E3" w:rsidR="003D2470" w:rsidRDefault="003D2470" w:rsidP="00FB7E48">
      <w:pPr>
        <w:pStyle w:val="Testo2"/>
        <w:rPr>
          <w:u w:val="single"/>
        </w:rPr>
      </w:pPr>
      <w:r>
        <w:rPr>
          <w:u w:val="single"/>
        </w:rPr>
        <w:t>C</w:t>
      </w:r>
      <w:r w:rsidR="005273D9">
        <w:rPr>
          <w:u w:val="single"/>
        </w:rPr>
        <w:t>on gli opportuni adattamenti imposti dalla disciplina, il corso si propone di</w:t>
      </w:r>
      <w:r w:rsidR="005273D9" w:rsidRPr="005273D9">
        <w:rPr>
          <w:u w:val="single"/>
        </w:rPr>
        <w:t xml:space="preserve"> </w:t>
      </w:r>
      <w:r w:rsidR="005273D9">
        <w:rPr>
          <w:u w:val="single"/>
        </w:rPr>
        <w:t xml:space="preserve">“diagonalizzare” l’attualità del diritto commerciale comparato tramite le principali teorie dell’intrepretazione normativa, fornendo agli studenti </w:t>
      </w:r>
      <w:r>
        <w:rPr>
          <w:u w:val="single"/>
        </w:rPr>
        <w:t>le tecniche per l’impiego interpretativo del diritto comparato nel diritto societario.</w:t>
      </w:r>
    </w:p>
    <w:p w14:paraId="728EDA2C" w14:textId="77777777" w:rsidR="0069772C" w:rsidRDefault="0069772C" w:rsidP="0069772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D54C683" w14:textId="77777777" w:rsidR="0069772C" w:rsidRDefault="0069772C" w:rsidP="0069772C">
      <w:pPr>
        <w:pStyle w:val="Testo2"/>
      </w:pPr>
      <w:r w:rsidRPr="006710DC">
        <w:t>Esame orale. La valutazione sarà effettuata tenendo in considerazione: l’assimilazione critica dei contenuti; la capacità di compiere collegamenti fra le diverse parti del programma: l’esposizione e la proprietà di linguaggio</w:t>
      </w:r>
      <w:r>
        <w:t>.</w:t>
      </w:r>
    </w:p>
    <w:p w14:paraId="68508B98" w14:textId="77777777" w:rsidR="0069772C" w:rsidRPr="00072388" w:rsidRDefault="0069772C" w:rsidP="0069772C">
      <w:pPr>
        <w:pStyle w:val="Testo2"/>
      </w:pPr>
      <w:r w:rsidRPr="00072388">
        <w:t xml:space="preserve">Gli </w:t>
      </w:r>
      <w:r w:rsidRPr="00072388">
        <w:rPr>
          <w:i/>
        </w:rPr>
        <w:t>studenti frequentanti</w:t>
      </w:r>
      <w:r w:rsidRPr="00072388">
        <w:t xml:space="preserve"> sostengono l’esame sulla base degli appunti</w:t>
      </w:r>
      <w:r w:rsidR="005273D9">
        <w:t>, tra l’altro (ma non solo) esplicativi del “libro di testo”</w:t>
      </w:r>
      <w:r w:rsidRPr="00072388">
        <w:t xml:space="preserve">. </w:t>
      </w:r>
    </w:p>
    <w:p w14:paraId="750837BB" w14:textId="77777777" w:rsidR="0069772C" w:rsidRDefault="0069772C" w:rsidP="0069772C">
      <w:pPr>
        <w:pStyle w:val="Testo2"/>
      </w:pPr>
      <w:r w:rsidRPr="00072388">
        <w:t xml:space="preserve">Gli </w:t>
      </w:r>
      <w:r w:rsidRPr="00072388">
        <w:rPr>
          <w:i/>
        </w:rPr>
        <w:t>studenti non frequentanti</w:t>
      </w:r>
      <w:r w:rsidRPr="00072388">
        <w:t xml:space="preserve"> sono t</w:t>
      </w:r>
      <w:r>
        <w:t xml:space="preserve">enuti a preparare l’esame </w:t>
      </w:r>
      <w:r w:rsidRPr="00072388">
        <w:t>su</w:t>
      </w:r>
      <w:r w:rsidR="005273D9">
        <w:t>l</w:t>
      </w:r>
      <w:r w:rsidRPr="00072388">
        <w:t xml:space="preserve"> test</w:t>
      </w:r>
      <w:r w:rsidR="005273D9">
        <w:t>o</w:t>
      </w:r>
      <w:r w:rsidRPr="00072388">
        <w:t xml:space="preserve"> indicat</w:t>
      </w:r>
      <w:r w:rsidR="005273D9">
        <w:t>o</w:t>
      </w:r>
      <w:r w:rsidRPr="00072388">
        <w:t>.</w:t>
      </w:r>
    </w:p>
    <w:p w14:paraId="574F0841" w14:textId="77777777" w:rsidR="0069772C" w:rsidRDefault="0069772C" w:rsidP="0069772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DFC8141" w14:textId="77777777" w:rsidR="0069772C" w:rsidRPr="007D710B" w:rsidRDefault="0069772C" w:rsidP="007D710B">
      <w:pPr>
        <w:pStyle w:val="Testo2"/>
      </w:pPr>
      <w:r w:rsidRPr="007D710B">
        <w:lastRenderedPageBreak/>
        <w:t>Le caratteristiche della materia e l’impostazione prescelta per il suo insegnamento suggeriscono la frequenza al corso; nonché il pregresso superamento dell’esame di profitto di Diritto commerciale I.</w:t>
      </w:r>
    </w:p>
    <w:p w14:paraId="2AF753B6" w14:textId="77777777" w:rsidR="0069772C" w:rsidRDefault="0069772C" w:rsidP="007D710B">
      <w:pPr>
        <w:pStyle w:val="Testo2"/>
      </w:pPr>
      <w:r w:rsidRPr="007D710B">
        <w:t>L’assegnazione di elaborati di tesi richiede la buona conoscenza di almeno una lingua straniera, la pregressa frequenza e la predisposizione all’elaborazione critica. E’ possibile svolgere l’elaborato di tesi in una delle seguenti lingue: italiano, inglese, tedesco, francese. Sono raccomandati periodi di soggiorno presso università straniere per la predisposizione di eleborati di tesi cc.dd. sperimentali.</w:t>
      </w:r>
    </w:p>
    <w:p w14:paraId="6D533053" w14:textId="77777777" w:rsidR="00F72364" w:rsidRDefault="00F72364" w:rsidP="00F72364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B71DDBC" w14:textId="77777777" w:rsidR="0069772C" w:rsidRPr="00072388" w:rsidRDefault="0069772C" w:rsidP="0069772C">
      <w:pPr>
        <w:spacing w:before="120"/>
        <w:ind w:firstLine="284"/>
        <w:rPr>
          <w:rFonts w:ascii="Times" w:hAnsi="Times"/>
          <w:i/>
          <w:noProof/>
          <w:sz w:val="18"/>
          <w:szCs w:val="20"/>
        </w:rPr>
      </w:pPr>
      <w:r w:rsidRPr="00072388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4A543942" w14:textId="77777777" w:rsidR="0069772C" w:rsidRPr="007D710B" w:rsidRDefault="0069772C" w:rsidP="007D710B">
      <w:pPr>
        <w:pStyle w:val="Testo2"/>
      </w:pPr>
      <w:r w:rsidRPr="00072388">
        <w:t>Il Prof. Vincenzo Cariello riceve gli studenti</w:t>
      </w:r>
      <w:r w:rsidR="005273D9">
        <w:t xml:space="preserve"> nel giorno e negli orari che saranno comunicati all’inizio delle lezioni</w:t>
      </w:r>
      <w:r w:rsidRPr="00072388">
        <w:t>.</w:t>
      </w:r>
    </w:p>
    <w:sectPr w:rsidR="0069772C" w:rsidRPr="007D710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084"/>
    <w:rsid w:val="00187B99"/>
    <w:rsid w:val="002014DD"/>
    <w:rsid w:val="002D5E17"/>
    <w:rsid w:val="00317084"/>
    <w:rsid w:val="0032721E"/>
    <w:rsid w:val="003D2470"/>
    <w:rsid w:val="004D1217"/>
    <w:rsid w:val="004D6008"/>
    <w:rsid w:val="005273D9"/>
    <w:rsid w:val="00640794"/>
    <w:rsid w:val="0069772C"/>
    <w:rsid w:val="006F1772"/>
    <w:rsid w:val="007D710B"/>
    <w:rsid w:val="008942E7"/>
    <w:rsid w:val="008A1204"/>
    <w:rsid w:val="00900CCA"/>
    <w:rsid w:val="00924B77"/>
    <w:rsid w:val="00940DA2"/>
    <w:rsid w:val="009E055C"/>
    <w:rsid w:val="00A74F6F"/>
    <w:rsid w:val="00AD5BA6"/>
    <w:rsid w:val="00AD7557"/>
    <w:rsid w:val="00B50C5D"/>
    <w:rsid w:val="00B51253"/>
    <w:rsid w:val="00B525CC"/>
    <w:rsid w:val="00B83E64"/>
    <w:rsid w:val="00BD379E"/>
    <w:rsid w:val="00D04E6A"/>
    <w:rsid w:val="00D404F2"/>
    <w:rsid w:val="00DE2EB1"/>
    <w:rsid w:val="00E33361"/>
    <w:rsid w:val="00E607E6"/>
    <w:rsid w:val="00EC1C74"/>
    <w:rsid w:val="00F72364"/>
    <w:rsid w:val="00FB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FBE47"/>
  <w15:chartTrackingRefBased/>
  <w15:docId w15:val="{94D4B53E-1EB2-4EE3-B5FF-C134ED69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69772C"/>
    <w:rPr>
      <w:color w:val="0563C1" w:themeColor="hyperlink"/>
      <w:u w:val="single"/>
    </w:rPr>
  </w:style>
  <w:style w:type="paragraph" w:customStyle="1" w:styleId="Nessunaspaziatura1">
    <w:name w:val="Nessuna spaziatura1"/>
    <w:uiPriority w:val="1"/>
    <w:qFormat/>
    <w:rsid w:val="0069772C"/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5C521-51AD-4F2A-BDAF-D5B504F5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4</TotalTime>
  <Pages>3</Pages>
  <Words>731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4</cp:revision>
  <cp:lastPrinted>2003-03-27T10:42:00Z</cp:lastPrinted>
  <dcterms:created xsi:type="dcterms:W3CDTF">2022-04-19T11:17:00Z</dcterms:created>
  <dcterms:modified xsi:type="dcterms:W3CDTF">2023-03-06T07:31:00Z</dcterms:modified>
</cp:coreProperties>
</file>