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AFF26" w14:textId="77777777" w:rsidR="002D5E17" w:rsidRPr="00B46033" w:rsidRDefault="00DD5E0F" w:rsidP="00B46033">
      <w:pPr>
        <w:pStyle w:val="Titolo1"/>
        <w:spacing w:line="276" w:lineRule="auto"/>
        <w:rPr>
          <w:rFonts w:ascii="Times New Roman" w:hAnsi="Times New Roman"/>
        </w:rPr>
      </w:pPr>
      <w:r w:rsidRPr="00B46033">
        <w:rPr>
          <w:rFonts w:ascii="Times New Roman" w:hAnsi="Times New Roman"/>
        </w:rPr>
        <w:t>Diritto bancario</w:t>
      </w:r>
    </w:p>
    <w:p w14:paraId="0E5B3A1C" w14:textId="4C157AE4" w:rsidR="00DD5E0F" w:rsidRPr="00F66094" w:rsidRDefault="00DD5E0F" w:rsidP="00B46033">
      <w:pPr>
        <w:pStyle w:val="Titolo2"/>
        <w:spacing w:line="276" w:lineRule="auto"/>
        <w:rPr>
          <w:rFonts w:ascii="Times New Roman" w:hAnsi="Times New Roman"/>
        </w:rPr>
      </w:pPr>
      <w:r w:rsidRPr="00F66094">
        <w:rPr>
          <w:rFonts w:ascii="Times New Roman" w:hAnsi="Times New Roman"/>
        </w:rPr>
        <w:t xml:space="preserve">Prof. </w:t>
      </w:r>
      <w:r w:rsidR="00D4686C" w:rsidRPr="00F66094">
        <w:rPr>
          <w:rFonts w:ascii="Times New Roman" w:hAnsi="Times New Roman"/>
        </w:rPr>
        <w:t>Claudio Frigeni</w:t>
      </w:r>
    </w:p>
    <w:p w14:paraId="5CD10DD3" w14:textId="77777777" w:rsidR="00DD5E0F" w:rsidRPr="00F66094" w:rsidRDefault="00DD5E0F" w:rsidP="00B46033">
      <w:pPr>
        <w:spacing w:before="240" w:after="120" w:line="276" w:lineRule="auto"/>
        <w:rPr>
          <w:b/>
          <w:sz w:val="18"/>
          <w:szCs w:val="20"/>
        </w:rPr>
      </w:pPr>
      <w:r w:rsidRPr="00F66094">
        <w:rPr>
          <w:b/>
          <w:i/>
          <w:sz w:val="18"/>
          <w:szCs w:val="20"/>
        </w:rPr>
        <w:t>OBIETTIVO DEL CORSO E RISULTATI DI APPRENDIMENTO ATTESI</w:t>
      </w:r>
    </w:p>
    <w:p w14:paraId="5B0C46B2" w14:textId="43F406AA" w:rsidR="00DD5E0F" w:rsidRPr="00B46033" w:rsidRDefault="00DD5E0F" w:rsidP="00B46033">
      <w:pPr>
        <w:spacing w:line="276" w:lineRule="auto"/>
        <w:rPr>
          <w:szCs w:val="20"/>
        </w:rPr>
      </w:pPr>
      <w:r w:rsidRPr="00B46033">
        <w:rPr>
          <w:szCs w:val="20"/>
        </w:rPr>
        <w:t xml:space="preserve">Il corso si propone di fornire </w:t>
      </w:r>
      <w:r w:rsidR="008508AE">
        <w:rPr>
          <w:szCs w:val="20"/>
        </w:rPr>
        <w:t xml:space="preserve">il quadro generale </w:t>
      </w:r>
      <w:r w:rsidRPr="00B46033">
        <w:rPr>
          <w:szCs w:val="20"/>
        </w:rPr>
        <w:t>dell’ordinamento bancario</w:t>
      </w:r>
      <w:r w:rsidR="008508AE">
        <w:rPr>
          <w:szCs w:val="20"/>
        </w:rPr>
        <w:t xml:space="preserve"> con riguardo sia alle regole relative all’organizzazione dell’impresa bancaria, sia alle regole per lo svolgimento dell’attività bancaria nei confronti dei clienti</w:t>
      </w:r>
      <w:r w:rsidR="00DF71FF">
        <w:rPr>
          <w:szCs w:val="20"/>
        </w:rPr>
        <w:t xml:space="preserve">, con particolare riguardo </w:t>
      </w:r>
      <w:r w:rsidR="007C7CC0">
        <w:rPr>
          <w:szCs w:val="20"/>
        </w:rPr>
        <w:t xml:space="preserve">alle </w:t>
      </w:r>
      <w:r w:rsidR="00DF71FF">
        <w:rPr>
          <w:szCs w:val="20"/>
        </w:rPr>
        <w:t>principali operazioni bancarie</w:t>
      </w:r>
      <w:r w:rsidRPr="00B46033">
        <w:rPr>
          <w:szCs w:val="20"/>
        </w:rPr>
        <w:t>.</w:t>
      </w:r>
    </w:p>
    <w:p w14:paraId="7602500B" w14:textId="77777777" w:rsidR="00B83CF0" w:rsidRPr="00B83CF0" w:rsidRDefault="00B83CF0" w:rsidP="00F66094">
      <w:pPr>
        <w:spacing w:before="120" w:line="276" w:lineRule="auto"/>
        <w:rPr>
          <w:i/>
          <w:szCs w:val="20"/>
        </w:rPr>
      </w:pPr>
      <w:r w:rsidRPr="00B83CF0">
        <w:rPr>
          <w:i/>
          <w:szCs w:val="20"/>
        </w:rPr>
        <w:t>Risultati di apprendimento attesi</w:t>
      </w:r>
    </w:p>
    <w:p w14:paraId="0100FBDA" w14:textId="5A140088" w:rsidR="00DD5E0F" w:rsidRPr="00B46033" w:rsidRDefault="00DD5E0F" w:rsidP="00B46033">
      <w:pPr>
        <w:spacing w:line="276" w:lineRule="auto"/>
        <w:rPr>
          <w:szCs w:val="20"/>
        </w:rPr>
      </w:pPr>
      <w:r w:rsidRPr="00B46033">
        <w:rPr>
          <w:szCs w:val="20"/>
        </w:rPr>
        <w:t xml:space="preserve">Al termine dell’insegnamento, lo studente sarà in grado di identificare i presupposti </w:t>
      </w:r>
      <w:r w:rsidR="007C7CC0">
        <w:rPr>
          <w:szCs w:val="20"/>
        </w:rPr>
        <w:t xml:space="preserve">di </w:t>
      </w:r>
      <w:r w:rsidRPr="00B46033">
        <w:rPr>
          <w:szCs w:val="20"/>
        </w:rPr>
        <w:t xml:space="preserve">legittimo esercizio dell’attività </w:t>
      </w:r>
      <w:r w:rsidR="008508AE">
        <w:rPr>
          <w:szCs w:val="20"/>
        </w:rPr>
        <w:t>bancaria da parte degli intermediari bancari e finanziari e</w:t>
      </w:r>
      <w:r w:rsidRPr="00B46033">
        <w:rPr>
          <w:szCs w:val="20"/>
        </w:rPr>
        <w:t xml:space="preserve"> comprendere </w:t>
      </w:r>
      <w:r w:rsidR="007C7CC0">
        <w:rPr>
          <w:szCs w:val="20"/>
        </w:rPr>
        <w:t xml:space="preserve">la </w:t>
      </w:r>
      <w:r w:rsidR="007C7CC0" w:rsidRPr="007C7CC0">
        <w:rPr>
          <w:i/>
          <w:szCs w:val="20"/>
        </w:rPr>
        <w:t>ratio</w:t>
      </w:r>
      <w:r w:rsidR="007C7CC0">
        <w:rPr>
          <w:szCs w:val="20"/>
        </w:rPr>
        <w:t xml:space="preserve"> dei controlli pubblici e il ruolo </w:t>
      </w:r>
      <w:r w:rsidR="008508AE">
        <w:rPr>
          <w:szCs w:val="20"/>
        </w:rPr>
        <w:t>delle autorità di vigilanza, nonché</w:t>
      </w:r>
      <w:r w:rsidR="008508AE" w:rsidRPr="00B46033">
        <w:rPr>
          <w:szCs w:val="20"/>
        </w:rPr>
        <w:t xml:space="preserve"> individuare </w:t>
      </w:r>
      <w:r w:rsidR="00B83CF0">
        <w:rPr>
          <w:szCs w:val="20"/>
        </w:rPr>
        <w:t xml:space="preserve">gli elementi fondamentali che connotano il rapporto-banca cliente </w:t>
      </w:r>
      <w:r w:rsidR="007C7CC0">
        <w:rPr>
          <w:szCs w:val="20"/>
        </w:rPr>
        <w:t xml:space="preserve">banche </w:t>
      </w:r>
      <w:r w:rsidR="008508AE" w:rsidRPr="00B46033">
        <w:rPr>
          <w:szCs w:val="20"/>
        </w:rPr>
        <w:t xml:space="preserve">nelle diverse fasi del rapporto </w:t>
      </w:r>
      <w:r w:rsidR="00B83CF0">
        <w:rPr>
          <w:szCs w:val="20"/>
        </w:rPr>
        <w:t xml:space="preserve">contrattuale </w:t>
      </w:r>
      <w:r w:rsidR="008508AE" w:rsidRPr="00B46033">
        <w:rPr>
          <w:szCs w:val="20"/>
        </w:rPr>
        <w:t xml:space="preserve">(precontrattuale e contrattuale) </w:t>
      </w:r>
      <w:r w:rsidR="008508AE">
        <w:rPr>
          <w:szCs w:val="20"/>
        </w:rPr>
        <w:t xml:space="preserve">e </w:t>
      </w:r>
      <w:r w:rsidR="008508AE" w:rsidRPr="00B46033">
        <w:rPr>
          <w:szCs w:val="20"/>
        </w:rPr>
        <w:t xml:space="preserve">la disciplina applicabile alle </w:t>
      </w:r>
      <w:r w:rsidR="008508AE">
        <w:rPr>
          <w:szCs w:val="20"/>
        </w:rPr>
        <w:t xml:space="preserve">principali </w:t>
      </w:r>
      <w:r w:rsidR="008508AE" w:rsidRPr="00B46033">
        <w:rPr>
          <w:szCs w:val="20"/>
        </w:rPr>
        <w:t>operazioni bancarie</w:t>
      </w:r>
      <w:r w:rsidRPr="00B46033">
        <w:rPr>
          <w:szCs w:val="20"/>
        </w:rPr>
        <w:t>.</w:t>
      </w:r>
    </w:p>
    <w:p w14:paraId="1DCA7DDD" w14:textId="77777777" w:rsidR="00DD5E0F" w:rsidRPr="00F66094" w:rsidRDefault="00DD5E0F" w:rsidP="00B46033">
      <w:pPr>
        <w:spacing w:before="240" w:after="120" w:line="276" w:lineRule="auto"/>
        <w:rPr>
          <w:b/>
          <w:sz w:val="18"/>
          <w:szCs w:val="20"/>
        </w:rPr>
      </w:pPr>
      <w:r w:rsidRPr="00F66094">
        <w:rPr>
          <w:b/>
          <w:i/>
          <w:sz w:val="18"/>
          <w:szCs w:val="20"/>
        </w:rPr>
        <w:t>PROGRAMMA DEL CORSO</w:t>
      </w:r>
    </w:p>
    <w:p w14:paraId="52EFC4F9" w14:textId="203765BB" w:rsidR="00A64BB9" w:rsidRDefault="00D922BA" w:rsidP="00F66094">
      <w:pPr>
        <w:tabs>
          <w:tab w:val="clear" w:pos="284"/>
        </w:tabs>
        <w:spacing w:line="276" w:lineRule="auto"/>
        <w:rPr>
          <w:szCs w:val="20"/>
        </w:rPr>
      </w:pPr>
      <w:r w:rsidRPr="00D922BA">
        <w:rPr>
          <w:szCs w:val="20"/>
        </w:rPr>
        <w:t xml:space="preserve">Il corso è suddiviso in tre parti. La </w:t>
      </w:r>
      <w:r w:rsidRPr="009D0BD0">
        <w:rPr>
          <w:szCs w:val="20"/>
          <w:u w:val="single"/>
        </w:rPr>
        <w:t>prima parte</w:t>
      </w:r>
      <w:r>
        <w:rPr>
          <w:szCs w:val="20"/>
        </w:rPr>
        <w:t xml:space="preserve"> </w:t>
      </w:r>
      <w:r w:rsidR="009D0BD0">
        <w:rPr>
          <w:szCs w:val="20"/>
        </w:rPr>
        <w:t xml:space="preserve">esamina </w:t>
      </w:r>
      <w:r w:rsidRPr="00D922BA">
        <w:rPr>
          <w:szCs w:val="20"/>
        </w:rPr>
        <w:t xml:space="preserve">l’organizzazione </w:t>
      </w:r>
      <w:r>
        <w:rPr>
          <w:szCs w:val="20"/>
        </w:rPr>
        <w:t xml:space="preserve">dell’impresa bancaria </w:t>
      </w:r>
      <w:r w:rsidRPr="00D922BA">
        <w:rPr>
          <w:szCs w:val="20"/>
        </w:rPr>
        <w:t xml:space="preserve">e </w:t>
      </w:r>
      <w:r w:rsidR="00B83CF0">
        <w:rPr>
          <w:szCs w:val="20"/>
        </w:rPr>
        <w:t xml:space="preserve">si </w:t>
      </w:r>
      <w:r w:rsidR="00D80CE4">
        <w:rPr>
          <w:szCs w:val="20"/>
        </w:rPr>
        <w:t>focalizza</w:t>
      </w:r>
      <w:r w:rsidR="00B83CF0">
        <w:rPr>
          <w:szCs w:val="20"/>
        </w:rPr>
        <w:t xml:space="preserve"> sulla </w:t>
      </w:r>
      <w:r>
        <w:rPr>
          <w:szCs w:val="20"/>
        </w:rPr>
        <w:t xml:space="preserve">disciplina </w:t>
      </w:r>
      <w:r w:rsidR="009D0BD0">
        <w:rPr>
          <w:szCs w:val="20"/>
        </w:rPr>
        <w:t xml:space="preserve">speciale connessa ai </w:t>
      </w:r>
      <w:r w:rsidRPr="00D922BA">
        <w:rPr>
          <w:szCs w:val="20"/>
        </w:rPr>
        <w:t xml:space="preserve">controlli pubblici </w:t>
      </w:r>
      <w:r w:rsidR="00D80CE4">
        <w:rPr>
          <w:szCs w:val="20"/>
        </w:rPr>
        <w:t xml:space="preserve">previsti per </w:t>
      </w:r>
      <w:r w:rsidR="00B83CF0">
        <w:rPr>
          <w:szCs w:val="20"/>
        </w:rPr>
        <w:t xml:space="preserve">lo svolgimento dell’attività bancaria e sul ruolo assegnato </w:t>
      </w:r>
      <w:r w:rsidR="00D80CE4">
        <w:rPr>
          <w:szCs w:val="20"/>
        </w:rPr>
        <w:t xml:space="preserve">in questo contesto </w:t>
      </w:r>
      <w:r w:rsidR="00B83CF0">
        <w:rPr>
          <w:szCs w:val="20"/>
        </w:rPr>
        <w:t>al</w:t>
      </w:r>
      <w:r w:rsidRPr="00D922BA">
        <w:rPr>
          <w:szCs w:val="20"/>
        </w:rPr>
        <w:t xml:space="preserve">le autorità di regolamentazione e di vigilanza. </w:t>
      </w:r>
      <w:r>
        <w:rPr>
          <w:szCs w:val="20"/>
        </w:rPr>
        <w:t xml:space="preserve">La </w:t>
      </w:r>
      <w:r w:rsidRPr="009D0BD0">
        <w:rPr>
          <w:szCs w:val="20"/>
          <w:u w:val="single"/>
        </w:rPr>
        <w:t>seconda parte</w:t>
      </w:r>
      <w:r>
        <w:rPr>
          <w:szCs w:val="20"/>
        </w:rPr>
        <w:t xml:space="preserve"> </w:t>
      </w:r>
      <w:r w:rsidR="00B83CF0">
        <w:rPr>
          <w:szCs w:val="20"/>
        </w:rPr>
        <w:t xml:space="preserve">è dedicata </w:t>
      </w:r>
      <w:r w:rsidR="009D0BD0">
        <w:rPr>
          <w:szCs w:val="20"/>
        </w:rPr>
        <w:t>allo svolgimento dell</w:t>
      </w:r>
      <w:r>
        <w:rPr>
          <w:szCs w:val="20"/>
        </w:rPr>
        <w:t xml:space="preserve">’attività bancaria </w:t>
      </w:r>
      <w:r w:rsidR="00B83CF0">
        <w:rPr>
          <w:szCs w:val="20"/>
        </w:rPr>
        <w:t xml:space="preserve">e ai principi generali </w:t>
      </w:r>
      <w:r w:rsidR="009D0BD0">
        <w:rPr>
          <w:szCs w:val="20"/>
        </w:rPr>
        <w:t xml:space="preserve">che caratterizzano il </w:t>
      </w:r>
      <w:r>
        <w:rPr>
          <w:szCs w:val="20"/>
        </w:rPr>
        <w:t>rapporto banca-cliente</w:t>
      </w:r>
      <w:r w:rsidR="009D0BD0">
        <w:rPr>
          <w:szCs w:val="20"/>
        </w:rPr>
        <w:t xml:space="preserve"> nella dimensione contrattuale</w:t>
      </w:r>
      <w:r w:rsidR="00B83CF0">
        <w:rPr>
          <w:szCs w:val="20"/>
        </w:rPr>
        <w:t xml:space="preserve">, con particolare </w:t>
      </w:r>
      <w:r w:rsidR="009D0BD0">
        <w:rPr>
          <w:szCs w:val="20"/>
        </w:rPr>
        <w:t xml:space="preserve">riguardo </w:t>
      </w:r>
      <w:r w:rsidR="00B83CF0">
        <w:rPr>
          <w:szCs w:val="20"/>
        </w:rPr>
        <w:t xml:space="preserve">alla </w:t>
      </w:r>
      <w:r>
        <w:rPr>
          <w:szCs w:val="20"/>
        </w:rPr>
        <w:t xml:space="preserve">trasparenza e correttezza </w:t>
      </w:r>
      <w:r w:rsidR="00B83CF0">
        <w:rPr>
          <w:szCs w:val="20"/>
        </w:rPr>
        <w:t xml:space="preserve">nelle </w:t>
      </w:r>
      <w:r>
        <w:rPr>
          <w:szCs w:val="20"/>
        </w:rPr>
        <w:t>diverse fasi del rapporto</w:t>
      </w:r>
      <w:r w:rsidR="009D0BD0">
        <w:rPr>
          <w:szCs w:val="20"/>
        </w:rPr>
        <w:t xml:space="preserve"> </w:t>
      </w:r>
      <w:r>
        <w:rPr>
          <w:szCs w:val="20"/>
        </w:rPr>
        <w:t xml:space="preserve">(formazione del contratto e informazione al cliente, forma del contratto e consegna di un esemplare del contratto, nullità di protezione, informazioni sullo svolgimento del rapporto e richiesta di informazioni, </w:t>
      </w:r>
      <w:proofErr w:type="spellStart"/>
      <w:r w:rsidRPr="00D922BA">
        <w:rPr>
          <w:i/>
          <w:szCs w:val="20"/>
        </w:rPr>
        <w:t>jus</w:t>
      </w:r>
      <w:proofErr w:type="spellEnd"/>
      <w:r w:rsidRPr="00D922BA">
        <w:rPr>
          <w:i/>
          <w:szCs w:val="20"/>
        </w:rPr>
        <w:t xml:space="preserve"> </w:t>
      </w:r>
      <w:proofErr w:type="spellStart"/>
      <w:r w:rsidRPr="00D922BA">
        <w:rPr>
          <w:i/>
          <w:szCs w:val="20"/>
        </w:rPr>
        <w:t>variandi</w:t>
      </w:r>
      <w:proofErr w:type="spellEnd"/>
      <w:r>
        <w:rPr>
          <w:szCs w:val="20"/>
        </w:rPr>
        <w:t>).</w:t>
      </w:r>
      <w:r w:rsidR="00B83CF0">
        <w:rPr>
          <w:szCs w:val="20"/>
        </w:rPr>
        <w:t xml:space="preserve"> </w:t>
      </w:r>
      <w:r>
        <w:rPr>
          <w:szCs w:val="20"/>
        </w:rPr>
        <w:t xml:space="preserve">La </w:t>
      </w:r>
      <w:r w:rsidRPr="009D0BD0">
        <w:rPr>
          <w:szCs w:val="20"/>
          <w:u w:val="single"/>
        </w:rPr>
        <w:t>terza parte</w:t>
      </w:r>
      <w:r>
        <w:rPr>
          <w:szCs w:val="20"/>
        </w:rPr>
        <w:t xml:space="preserve"> </w:t>
      </w:r>
      <w:r w:rsidR="009D0BD0">
        <w:rPr>
          <w:szCs w:val="20"/>
        </w:rPr>
        <w:t>si sofferma su alcune delle</w:t>
      </w:r>
      <w:r w:rsidR="00B83CF0">
        <w:rPr>
          <w:szCs w:val="20"/>
        </w:rPr>
        <w:t xml:space="preserve"> principali operazioni bancarie </w:t>
      </w:r>
      <w:r w:rsidR="009D0BD0">
        <w:rPr>
          <w:szCs w:val="20"/>
        </w:rPr>
        <w:t xml:space="preserve">mediante le quali si realizza </w:t>
      </w:r>
      <w:r>
        <w:rPr>
          <w:szCs w:val="20"/>
        </w:rPr>
        <w:t xml:space="preserve">l’attività di raccolta del risparmio, l’attività creditizia e </w:t>
      </w:r>
      <w:r w:rsidR="00B83CF0">
        <w:rPr>
          <w:szCs w:val="20"/>
        </w:rPr>
        <w:t xml:space="preserve">l’attività </w:t>
      </w:r>
      <w:r w:rsidR="00D80CE4">
        <w:rPr>
          <w:szCs w:val="20"/>
        </w:rPr>
        <w:t xml:space="preserve">di prestazione di </w:t>
      </w:r>
      <w:r>
        <w:rPr>
          <w:szCs w:val="20"/>
        </w:rPr>
        <w:t>servizi di pagamento.</w:t>
      </w:r>
    </w:p>
    <w:p w14:paraId="549F1751" w14:textId="77777777" w:rsidR="009D0BD0" w:rsidRDefault="009D0BD0" w:rsidP="00B46033">
      <w:pPr>
        <w:spacing w:before="120" w:line="276" w:lineRule="auto"/>
        <w:ind w:left="284" w:hanging="284"/>
        <w:rPr>
          <w:b/>
          <w:i/>
          <w:szCs w:val="20"/>
        </w:rPr>
      </w:pPr>
    </w:p>
    <w:p w14:paraId="38774509" w14:textId="77777777" w:rsidR="009D0BD0" w:rsidRDefault="009D0BD0" w:rsidP="00B46033">
      <w:pPr>
        <w:spacing w:before="120" w:line="276" w:lineRule="auto"/>
        <w:ind w:left="284" w:hanging="284"/>
        <w:rPr>
          <w:b/>
          <w:i/>
          <w:szCs w:val="20"/>
        </w:rPr>
      </w:pPr>
    </w:p>
    <w:p w14:paraId="45DA977D" w14:textId="07A986EC" w:rsidR="00DD5E0F" w:rsidRPr="00F66094" w:rsidRDefault="00DD5E0F" w:rsidP="00F66094">
      <w:pPr>
        <w:spacing w:before="240" w:after="120" w:line="276" w:lineRule="auto"/>
        <w:ind w:left="284" w:hanging="284"/>
        <w:rPr>
          <w:sz w:val="18"/>
          <w:szCs w:val="20"/>
        </w:rPr>
      </w:pPr>
      <w:r w:rsidRPr="00F66094">
        <w:rPr>
          <w:b/>
          <w:i/>
          <w:sz w:val="18"/>
          <w:szCs w:val="20"/>
        </w:rPr>
        <w:lastRenderedPageBreak/>
        <w:t>BIBLIOGRAFIA</w:t>
      </w:r>
      <w:r w:rsidR="00C3472A">
        <w:rPr>
          <w:rStyle w:val="Rimandonotaapidipagina"/>
          <w:b/>
          <w:i/>
          <w:sz w:val="18"/>
          <w:szCs w:val="20"/>
        </w:rPr>
        <w:footnoteReference w:id="1"/>
      </w:r>
    </w:p>
    <w:p w14:paraId="3D90AE50" w14:textId="1D8E4681" w:rsidR="00D922BA" w:rsidRPr="00F66094" w:rsidRDefault="00D80CE4" w:rsidP="005734B8">
      <w:pPr>
        <w:tabs>
          <w:tab w:val="clear" w:pos="284"/>
        </w:tabs>
        <w:spacing w:line="240" w:lineRule="exact"/>
        <w:ind w:left="284" w:hanging="284"/>
        <w:rPr>
          <w:bCs/>
          <w:iCs/>
          <w:sz w:val="18"/>
          <w:szCs w:val="20"/>
        </w:rPr>
      </w:pPr>
      <w:r w:rsidRPr="00F66094">
        <w:rPr>
          <w:bCs/>
          <w:iCs/>
          <w:sz w:val="18"/>
          <w:szCs w:val="20"/>
        </w:rPr>
        <w:tab/>
        <w:t>Per la prima parte:</w:t>
      </w:r>
    </w:p>
    <w:p w14:paraId="3F3F5C14" w14:textId="3F549053" w:rsidR="00D80CE4" w:rsidRPr="00F66094" w:rsidRDefault="005734B8" w:rsidP="005734B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bCs/>
          <w:iCs/>
          <w:sz w:val="18"/>
          <w:szCs w:val="20"/>
        </w:rPr>
      </w:pPr>
      <w:r w:rsidRPr="005734B8">
        <w:rPr>
          <w:bCs/>
          <w:iCs/>
          <w:smallCaps/>
          <w:sz w:val="16"/>
          <w:szCs w:val="20"/>
        </w:rPr>
        <w:t>C. Brescia Morra</w:t>
      </w:r>
      <w:r w:rsidR="00D80CE4" w:rsidRPr="00F66094">
        <w:rPr>
          <w:bCs/>
          <w:iCs/>
          <w:sz w:val="18"/>
          <w:szCs w:val="20"/>
        </w:rPr>
        <w:t xml:space="preserve">, </w:t>
      </w:r>
      <w:r w:rsidR="00D80CE4" w:rsidRPr="00F66094">
        <w:rPr>
          <w:bCs/>
          <w:i/>
          <w:iCs/>
          <w:sz w:val="18"/>
          <w:szCs w:val="20"/>
        </w:rPr>
        <w:t>Il diritto delle banche. Le regole dell’attività</w:t>
      </w:r>
      <w:r w:rsidR="00D80CE4" w:rsidRPr="00F66094">
        <w:rPr>
          <w:bCs/>
          <w:iCs/>
          <w:sz w:val="18"/>
          <w:szCs w:val="20"/>
        </w:rPr>
        <w:t>, Bologna, Il Mulino, 3</w:t>
      </w:r>
      <w:r w:rsidR="00D80CE4" w:rsidRPr="00F66094">
        <w:rPr>
          <w:bCs/>
          <w:iCs/>
          <w:sz w:val="18"/>
          <w:szCs w:val="20"/>
          <w:vertAlign w:val="superscript"/>
        </w:rPr>
        <w:t>a</w:t>
      </w:r>
      <w:r w:rsidR="00D80CE4" w:rsidRPr="00F66094">
        <w:rPr>
          <w:bCs/>
          <w:iCs/>
          <w:sz w:val="18"/>
          <w:szCs w:val="20"/>
        </w:rPr>
        <w:t xml:space="preserve"> ed. 2020 </w:t>
      </w:r>
      <w:hyperlink r:id="rId9" w:history="1">
        <w:r w:rsidR="00C3472A" w:rsidRPr="00C3472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4ADA955" w14:textId="521967D5" w:rsidR="00D922BA" w:rsidRPr="00F66094" w:rsidRDefault="00D80CE4" w:rsidP="005734B8">
      <w:pPr>
        <w:tabs>
          <w:tab w:val="clear" w:pos="284"/>
        </w:tabs>
        <w:spacing w:before="120" w:line="240" w:lineRule="exact"/>
        <w:ind w:left="284" w:hanging="284"/>
        <w:rPr>
          <w:bCs/>
          <w:iCs/>
          <w:sz w:val="18"/>
          <w:szCs w:val="20"/>
        </w:rPr>
      </w:pPr>
      <w:r w:rsidRPr="00F66094">
        <w:rPr>
          <w:bCs/>
          <w:iCs/>
          <w:sz w:val="18"/>
          <w:szCs w:val="20"/>
        </w:rPr>
        <w:tab/>
      </w:r>
      <w:r w:rsidR="00D922BA" w:rsidRPr="00F66094">
        <w:rPr>
          <w:bCs/>
          <w:iCs/>
          <w:sz w:val="18"/>
          <w:szCs w:val="20"/>
        </w:rPr>
        <w:t xml:space="preserve">Per la seconda </w:t>
      </w:r>
      <w:r w:rsidRPr="00F66094">
        <w:rPr>
          <w:bCs/>
          <w:iCs/>
          <w:sz w:val="18"/>
          <w:szCs w:val="20"/>
        </w:rPr>
        <w:t>parte:</w:t>
      </w:r>
    </w:p>
    <w:p w14:paraId="21449640" w14:textId="62B25EE5" w:rsidR="00D80CE4" w:rsidRPr="00F66094" w:rsidRDefault="005734B8" w:rsidP="005734B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bCs/>
          <w:iCs/>
          <w:sz w:val="18"/>
          <w:szCs w:val="20"/>
        </w:rPr>
      </w:pPr>
      <w:r w:rsidRPr="005734B8">
        <w:rPr>
          <w:bCs/>
          <w:iCs/>
          <w:smallCaps/>
          <w:sz w:val="16"/>
          <w:szCs w:val="20"/>
        </w:rPr>
        <w:t xml:space="preserve">A.A. </w:t>
      </w:r>
      <w:proofErr w:type="spellStart"/>
      <w:r w:rsidRPr="005734B8">
        <w:rPr>
          <w:bCs/>
          <w:iCs/>
          <w:smallCaps/>
          <w:sz w:val="16"/>
          <w:szCs w:val="20"/>
        </w:rPr>
        <w:t>Dolmetta</w:t>
      </w:r>
      <w:proofErr w:type="spellEnd"/>
      <w:r w:rsidR="00D80CE4" w:rsidRPr="00F66094">
        <w:rPr>
          <w:bCs/>
          <w:iCs/>
          <w:sz w:val="18"/>
          <w:szCs w:val="20"/>
        </w:rPr>
        <w:t xml:space="preserve">, </w:t>
      </w:r>
      <w:r w:rsidR="00D80CE4" w:rsidRPr="00F66094">
        <w:rPr>
          <w:bCs/>
          <w:i/>
          <w:iCs/>
          <w:sz w:val="18"/>
          <w:szCs w:val="20"/>
        </w:rPr>
        <w:t>Trasparenza dei prodotti bancari. Regole</w:t>
      </w:r>
      <w:r w:rsidR="00D80CE4" w:rsidRPr="00F66094">
        <w:rPr>
          <w:bCs/>
          <w:iCs/>
          <w:sz w:val="18"/>
          <w:szCs w:val="20"/>
        </w:rPr>
        <w:t>, Bologna, Zanichelli, 2013</w:t>
      </w:r>
      <w:r w:rsidR="00F66094">
        <w:rPr>
          <w:bCs/>
          <w:iCs/>
          <w:sz w:val="18"/>
          <w:szCs w:val="20"/>
        </w:rPr>
        <w:t>.</w:t>
      </w:r>
      <w:r w:rsidR="00C3472A">
        <w:rPr>
          <w:bCs/>
          <w:iCs/>
          <w:sz w:val="18"/>
          <w:szCs w:val="20"/>
        </w:rPr>
        <w:t xml:space="preserve"> </w:t>
      </w:r>
      <w:hyperlink r:id="rId10" w:history="1">
        <w:r w:rsidR="00C3472A" w:rsidRPr="00C3472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07D3932" w14:textId="5F44D04B" w:rsidR="005102DA" w:rsidRPr="00F66094" w:rsidRDefault="00D80CE4" w:rsidP="005734B8">
      <w:pPr>
        <w:tabs>
          <w:tab w:val="clear" w:pos="284"/>
        </w:tabs>
        <w:spacing w:before="120" w:line="240" w:lineRule="exact"/>
        <w:ind w:left="284" w:hanging="284"/>
        <w:rPr>
          <w:bCs/>
          <w:iCs/>
          <w:sz w:val="18"/>
          <w:szCs w:val="20"/>
        </w:rPr>
      </w:pPr>
      <w:r w:rsidRPr="00F66094">
        <w:rPr>
          <w:bCs/>
          <w:iCs/>
          <w:sz w:val="18"/>
          <w:szCs w:val="20"/>
        </w:rPr>
        <w:tab/>
      </w:r>
      <w:r w:rsidR="00D922BA" w:rsidRPr="00F66094">
        <w:rPr>
          <w:bCs/>
          <w:iCs/>
          <w:sz w:val="18"/>
          <w:szCs w:val="20"/>
        </w:rPr>
        <w:t>Per la terza parte l</w:t>
      </w:r>
      <w:r w:rsidR="00A50A41" w:rsidRPr="00F66094">
        <w:rPr>
          <w:bCs/>
          <w:iCs/>
          <w:sz w:val="18"/>
          <w:szCs w:val="20"/>
        </w:rPr>
        <w:t>a bibliografia di riferimento s</w:t>
      </w:r>
      <w:r w:rsidR="005102DA" w:rsidRPr="00F66094">
        <w:rPr>
          <w:bCs/>
          <w:iCs/>
          <w:sz w:val="18"/>
          <w:szCs w:val="20"/>
        </w:rPr>
        <w:t>arà pubblicata sulla pagina personale del docente</w:t>
      </w:r>
      <w:r w:rsidR="00D922BA" w:rsidRPr="00F66094">
        <w:rPr>
          <w:bCs/>
          <w:iCs/>
          <w:sz w:val="18"/>
          <w:szCs w:val="20"/>
        </w:rPr>
        <w:t xml:space="preserve"> al momento dell’inizio del corso</w:t>
      </w:r>
      <w:r w:rsidR="005102DA" w:rsidRPr="00F66094">
        <w:rPr>
          <w:bCs/>
          <w:iCs/>
          <w:sz w:val="18"/>
          <w:szCs w:val="20"/>
        </w:rPr>
        <w:t>.</w:t>
      </w:r>
    </w:p>
    <w:p w14:paraId="497B55EB" w14:textId="3B748774" w:rsidR="00DD5E0F" w:rsidRPr="00F66094" w:rsidRDefault="00DD5E0F" w:rsidP="00B46033">
      <w:pPr>
        <w:spacing w:before="240" w:after="120" w:line="276" w:lineRule="auto"/>
        <w:rPr>
          <w:b/>
          <w:i/>
          <w:sz w:val="18"/>
          <w:szCs w:val="20"/>
        </w:rPr>
      </w:pPr>
      <w:r w:rsidRPr="00F66094">
        <w:rPr>
          <w:b/>
          <w:i/>
          <w:sz w:val="18"/>
          <w:szCs w:val="20"/>
        </w:rPr>
        <w:t>DIDATTICA DEL CORSO</w:t>
      </w:r>
    </w:p>
    <w:p w14:paraId="1B9BFEE0" w14:textId="44DD136F" w:rsidR="00DD5E0F" w:rsidRPr="00F66094" w:rsidRDefault="00DD5E0F" w:rsidP="00B46033">
      <w:pPr>
        <w:pStyle w:val="Testo2"/>
        <w:spacing w:line="276" w:lineRule="auto"/>
        <w:rPr>
          <w:rFonts w:ascii="Times New Roman" w:hAnsi="Times New Roman"/>
        </w:rPr>
      </w:pPr>
      <w:r w:rsidRPr="00F66094">
        <w:rPr>
          <w:rFonts w:ascii="Times New Roman" w:hAnsi="Times New Roman"/>
        </w:rPr>
        <w:t xml:space="preserve">Il corso si svolgerà attraverso lezioni </w:t>
      </w:r>
      <w:r w:rsidR="00DF71FF" w:rsidRPr="00F66094">
        <w:rPr>
          <w:rFonts w:ascii="Times New Roman" w:hAnsi="Times New Roman"/>
        </w:rPr>
        <w:t>frontali</w:t>
      </w:r>
      <w:r w:rsidRPr="00F66094">
        <w:rPr>
          <w:rFonts w:ascii="Times New Roman" w:hAnsi="Times New Roman"/>
        </w:rPr>
        <w:t>.</w:t>
      </w:r>
    </w:p>
    <w:p w14:paraId="4A8D9D6F" w14:textId="77777777" w:rsidR="00DD5E0F" w:rsidRPr="00F66094" w:rsidRDefault="00DD5E0F" w:rsidP="00B46033">
      <w:pPr>
        <w:spacing w:before="240" w:after="120" w:line="276" w:lineRule="auto"/>
        <w:rPr>
          <w:b/>
          <w:i/>
          <w:sz w:val="18"/>
          <w:szCs w:val="20"/>
        </w:rPr>
      </w:pPr>
      <w:r w:rsidRPr="00F66094">
        <w:rPr>
          <w:b/>
          <w:i/>
          <w:sz w:val="18"/>
          <w:szCs w:val="20"/>
        </w:rPr>
        <w:t>METODO E CRITERI DI VALUTAZIONE</w:t>
      </w:r>
    </w:p>
    <w:p w14:paraId="35DD7ECC" w14:textId="703F670F" w:rsidR="00DD5E0F" w:rsidRPr="00F66094" w:rsidRDefault="00DD5E0F" w:rsidP="00B46033">
      <w:pPr>
        <w:pStyle w:val="Testo2"/>
        <w:spacing w:line="276" w:lineRule="auto"/>
        <w:rPr>
          <w:rFonts w:ascii="Times New Roman" w:hAnsi="Times New Roman"/>
        </w:rPr>
      </w:pPr>
      <w:r w:rsidRPr="00F66094">
        <w:rPr>
          <w:rFonts w:ascii="Times New Roman" w:hAnsi="Times New Roman"/>
        </w:rPr>
        <w:t>La preparazione degli studenti sarà valutata attraverso esami orali.</w:t>
      </w:r>
    </w:p>
    <w:p w14:paraId="0D5618ED" w14:textId="77777777" w:rsidR="00DD5E0F" w:rsidRPr="00F66094" w:rsidRDefault="00DD5E0F" w:rsidP="00B46033">
      <w:pPr>
        <w:pStyle w:val="Testo2"/>
        <w:spacing w:line="276" w:lineRule="auto"/>
        <w:rPr>
          <w:rFonts w:ascii="Times New Roman" w:hAnsi="Times New Roman"/>
        </w:rPr>
      </w:pPr>
      <w:r w:rsidRPr="00F66094">
        <w:rPr>
          <w:rFonts w:ascii="Times New Roman" w:hAnsi="Times New Roman"/>
        </w:rPr>
        <w:t>L’esame orale consiste nella formulazione di domande relative ai contenuti del programma. Insieme alla conoscenza dei dati normativi e giurisprudenziali, saranno accertate la attitudini di ragionamento sistematico del candidato, e in particolare la capacità di connettere i temi propri delle operazioni bancarie alle categorie civilistiche.</w:t>
      </w:r>
    </w:p>
    <w:p w14:paraId="3B06F425" w14:textId="77777777" w:rsidR="00DD5E0F" w:rsidRPr="00F66094" w:rsidRDefault="00DD5E0F" w:rsidP="00B46033">
      <w:pPr>
        <w:spacing w:before="240" w:after="120" w:line="276" w:lineRule="auto"/>
        <w:rPr>
          <w:b/>
          <w:i/>
          <w:sz w:val="18"/>
          <w:szCs w:val="20"/>
        </w:rPr>
      </w:pPr>
      <w:r w:rsidRPr="00F66094">
        <w:rPr>
          <w:b/>
          <w:i/>
          <w:sz w:val="18"/>
          <w:szCs w:val="20"/>
        </w:rPr>
        <w:t>AVVERTENZE E PREREQUISITI</w:t>
      </w:r>
    </w:p>
    <w:p w14:paraId="7EC230B9" w14:textId="77777777" w:rsidR="004571E7" w:rsidRPr="00F66094" w:rsidRDefault="00DD5E0F" w:rsidP="00D05A98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F66094">
        <w:rPr>
          <w:rFonts w:ascii="Times New Roman" w:hAnsi="Times New Roman"/>
          <w:szCs w:val="18"/>
        </w:rPr>
        <w:t>Lo studio del diritto bancario presuppone</w:t>
      </w:r>
      <w:r w:rsidR="004571E7" w:rsidRPr="00F66094">
        <w:rPr>
          <w:rFonts w:ascii="Times New Roman" w:hAnsi="Times New Roman"/>
          <w:szCs w:val="18"/>
        </w:rPr>
        <w:t>, in relazione alla prima parte,</w:t>
      </w:r>
      <w:r w:rsidRPr="00F66094">
        <w:rPr>
          <w:rFonts w:ascii="Times New Roman" w:hAnsi="Times New Roman"/>
          <w:szCs w:val="18"/>
        </w:rPr>
        <w:t xml:space="preserve"> la conoscenza </w:t>
      </w:r>
      <w:r w:rsidR="004571E7" w:rsidRPr="00F66094">
        <w:rPr>
          <w:rFonts w:ascii="Times New Roman" w:hAnsi="Times New Roman"/>
          <w:szCs w:val="18"/>
        </w:rPr>
        <w:t>dei principi base di diritto societario</w:t>
      </w:r>
      <w:r w:rsidR="00D922BA" w:rsidRPr="00F66094">
        <w:rPr>
          <w:rFonts w:ascii="Times New Roman" w:hAnsi="Times New Roman"/>
          <w:szCs w:val="18"/>
        </w:rPr>
        <w:t xml:space="preserve"> e</w:t>
      </w:r>
      <w:r w:rsidR="004571E7" w:rsidRPr="00F66094">
        <w:rPr>
          <w:rFonts w:ascii="Times New Roman" w:hAnsi="Times New Roman"/>
          <w:szCs w:val="18"/>
        </w:rPr>
        <w:t>, in relaione alla seconda e alla terza parte, la conoscenza</w:t>
      </w:r>
      <w:r w:rsidR="00D922BA" w:rsidRPr="00F66094">
        <w:rPr>
          <w:rFonts w:ascii="Times New Roman" w:hAnsi="Times New Roman"/>
          <w:szCs w:val="18"/>
        </w:rPr>
        <w:t xml:space="preserve"> </w:t>
      </w:r>
      <w:r w:rsidRPr="00F66094">
        <w:rPr>
          <w:rFonts w:ascii="Times New Roman" w:hAnsi="Times New Roman"/>
          <w:szCs w:val="18"/>
        </w:rPr>
        <w:t>del diritto privato «patrimoniale» (obbligazioni, contratti, titoli di credito, società, ecc.)</w:t>
      </w:r>
      <w:r w:rsidR="00D922BA" w:rsidRPr="00F66094">
        <w:rPr>
          <w:rFonts w:ascii="Times New Roman" w:hAnsi="Times New Roman"/>
          <w:szCs w:val="18"/>
        </w:rPr>
        <w:t xml:space="preserve">. </w:t>
      </w:r>
    </w:p>
    <w:p w14:paraId="59035642" w14:textId="28D4976E" w:rsidR="00D05A98" w:rsidRPr="00F66094" w:rsidRDefault="00D05A98" w:rsidP="00D05A98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F66094">
        <w:rPr>
          <w:rFonts w:ascii="Times New Roman" w:hAnsi="Times New Roman"/>
          <w:szCs w:val="18"/>
        </w:rPr>
        <w:t>Gli studenti sono tenuti a conoscere le eventuali modifiche legislative o regolamentari che dovessero intervenire nel corso dell’anno e che saranno rese note tramite Blackboard e mediante avviso pubblicato sulla pagina web personale del docente (</w:t>
      </w:r>
      <w:hyperlink r:id="rId11" w:history="1">
        <w:r w:rsidR="00D80CE4" w:rsidRPr="00F66094">
          <w:rPr>
            <w:rStyle w:val="Collegamentoipertestuale"/>
            <w:szCs w:val="18"/>
          </w:rPr>
          <w:t>http://docenti.unicatt.it/ita/claudio_frigeni/</w:t>
        </w:r>
      </w:hyperlink>
      <w:r w:rsidRPr="00F66094">
        <w:rPr>
          <w:rFonts w:ascii="Times New Roman" w:hAnsi="Times New Roman"/>
          <w:szCs w:val="18"/>
        </w:rPr>
        <w:t>).</w:t>
      </w:r>
    </w:p>
    <w:p w14:paraId="48607845" w14:textId="35B74C31" w:rsidR="005102DA" w:rsidRPr="00F66094" w:rsidRDefault="00DD5E0F" w:rsidP="00F66094">
      <w:pPr>
        <w:pStyle w:val="Testo2"/>
        <w:spacing w:before="120" w:line="276" w:lineRule="auto"/>
        <w:rPr>
          <w:rFonts w:ascii="Times New Roman" w:hAnsi="Times New Roman"/>
          <w:i/>
          <w:szCs w:val="18"/>
        </w:rPr>
      </w:pPr>
      <w:r w:rsidRPr="00F66094">
        <w:rPr>
          <w:rFonts w:ascii="Times New Roman" w:hAnsi="Times New Roman"/>
          <w:i/>
          <w:szCs w:val="18"/>
        </w:rPr>
        <w:t>Orario e luogo di ricevimento</w:t>
      </w:r>
    </w:p>
    <w:p w14:paraId="03FFA564" w14:textId="78B95974" w:rsidR="00DD5E0F" w:rsidRPr="00F66094" w:rsidRDefault="00D05A98" w:rsidP="00D80CE4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F66094">
        <w:rPr>
          <w:rFonts w:ascii="Times New Roman" w:hAnsi="Times New Roman"/>
          <w:szCs w:val="18"/>
        </w:rPr>
        <w:t xml:space="preserve">Gli orari di ricevimento sono disponibili on line nella pagina personale del docente, consultabile al sito </w:t>
      </w:r>
      <w:hyperlink r:id="rId12" w:history="1">
        <w:r w:rsidR="00D80CE4" w:rsidRPr="00F66094">
          <w:rPr>
            <w:rStyle w:val="Collegamentoipertestuale"/>
            <w:szCs w:val="18"/>
          </w:rPr>
          <w:t>http://docenti.unicatt.it/ita/claudio_frigeni</w:t>
        </w:r>
        <w:r w:rsidR="00D80CE4" w:rsidRPr="00F66094">
          <w:rPr>
            <w:rStyle w:val="Collegamentoipertestuale"/>
            <w:rFonts w:ascii="Times New Roman" w:hAnsi="Times New Roman"/>
            <w:szCs w:val="18"/>
          </w:rPr>
          <w:t>/</w:t>
        </w:r>
      </w:hyperlink>
      <w:r w:rsidR="00D80CE4" w:rsidRPr="00F66094">
        <w:rPr>
          <w:rFonts w:ascii="Times New Roman" w:hAnsi="Times New Roman"/>
          <w:szCs w:val="18"/>
        </w:rPr>
        <w:t xml:space="preserve"> </w:t>
      </w:r>
      <w:r w:rsidRPr="00F66094">
        <w:rPr>
          <w:rFonts w:ascii="Times New Roman" w:hAnsi="Times New Roman"/>
          <w:szCs w:val="18"/>
        </w:rPr>
        <w:t xml:space="preserve"> </w:t>
      </w:r>
      <w:r w:rsidR="00D80CE4" w:rsidRPr="00F66094">
        <w:rPr>
          <w:rFonts w:ascii="Times New Roman" w:hAnsi="Times New Roman"/>
          <w:szCs w:val="18"/>
        </w:rPr>
        <w:t xml:space="preserve"> </w:t>
      </w:r>
    </w:p>
    <w:sectPr w:rsidR="00DD5E0F" w:rsidRPr="00F6609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648CF" w14:textId="77777777" w:rsidR="007B19C9" w:rsidRDefault="007B19C9" w:rsidP="00D922BA">
      <w:pPr>
        <w:spacing w:line="240" w:lineRule="auto"/>
      </w:pPr>
      <w:r>
        <w:separator/>
      </w:r>
    </w:p>
  </w:endnote>
  <w:endnote w:type="continuationSeparator" w:id="0">
    <w:p w14:paraId="0DB98424" w14:textId="77777777" w:rsidR="007B19C9" w:rsidRDefault="007B19C9" w:rsidP="00D92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4DE92" w14:textId="77777777" w:rsidR="007B19C9" w:rsidRDefault="007B19C9" w:rsidP="00D922BA">
      <w:pPr>
        <w:spacing w:line="240" w:lineRule="auto"/>
      </w:pPr>
      <w:r>
        <w:separator/>
      </w:r>
    </w:p>
  </w:footnote>
  <w:footnote w:type="continuationSeparator" w:id="0">
    <w:p w14:paraId="59C18160" w14:textId="77777777" w:rsidR="007B19C9" w:rsidRDefault="007B19C9" w:rsidP="00D922BA">
      <w:pPr>
        <w:spacing w:line="240" w:lineRule="auto"/>
      </w:pPr>
      <w:r>
        <w:continuationSeparator/>
      </w:r>
    </w:p>
  </w:footnote>
  <w:footnote w:id="1">
    <w:p w14:paraId="0DA9C103" w14:textId="44AC54A4" w:rsidR="00C3472A" w:rsidRDefault="00C3472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468"/>
    <w:multiLevelType w:val="hybridMultilevel"/>
    <w:tmpl w:val="B214328E"/>
    <w:lvl w:ilvl="0" w:tplc="4B6E2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18"/>
    <w:rsid w:val="00187B99"/>
    <w:rsid w:val="002014DD"/>
    <w:rsid w:val="002701B3"/>
    <w:rsid w:val="002D5E17"/>
    <w:rsid w:val="003560FA"/>
    <w:rsid w:val="004571E7"/>
    <w:rsid w:val="004D1217"/>
    <w:rsid w:val="004D6008"/>
    <w:rsid w:val="005102DA"/>
    <w:rsid w:val="00546657"/>
    <w:rsid w:val="005734B8"/>
    <w:rsid w:val="00640794"/>
    <w:rsid w:val="006447D2"/>
    <w:rsid w:val="0067022F"/>
    <w:rsid w:val="006F1772"/>
    <w:rsid w:val="00701EA6"/>
    <w:rsid w:val="00743B18"/>
    <w:rsid w:val="00746FB9"/>
    <w:rsid w:val="007B19C9"/>
    <w:rsid w:val="007C7CC0"/>
    <w:rsid w:val="008508AE"/>
    <w:rsid w:val="008942E7"/>
    <w:rsid w:val="008A1204"/>
    <w:rsid w:val="00900CCA"/>
    <w:rsid w:val="00907813"/>
    <w:rsid w:val="00924B77"/>
    <w:rsid w:val="00940DA2"/>
    <w:rsid w:val="00996ABD"/>
    <w:rsid w:val="009A5863"/>
    <w:rsid w:val="009D0BD0"/>
    <w:rsid w:val="009E055C"/>
    <w:rsid w:val="00A50A41"/>
    <w:rsid w:val="00A64BB9"/>
    <w:rsid w:val="00A74F6F"/>
    <w:rsid w:val="00AD7557"/>
    <w:rsid w:val="00B10D11"/>
    <w:rsid w:val="00B46033"/>
    <w:rsid w:val="00B50C5D"/>
    <w:rsid w:val="00B51253"/>
    <w:rsid w:val="00B525CC"/>
    <w:rsid w:val="00B83CF0"/>
    <w:rsid w:val="00C3472A"/>
    <w:rsid w:val="00D05A98"/>
    <w:rsid w:val="00D404F2"/>
    <w:rsid w:val="00D4686C"/>
    <w:rsid w:val="00D80CE4"/>
    <w:rsid w:val="00D922BA"/>
    <w:rsid w:val="00DD5E0F"/>
    <w:rsid w:val="00DE1308"/>
    <w:rsid w:val="00DF71FF"/>
    <w:rsid w:val="00E607E6"/>
    <w:rsid w:val="00EC4453"/>
    <w:rsid w:val="00F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C6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508AE"/>
    <w:pPr>
      <w:ind w:left="720"/>
      <w:contextualSpacing/>
    </w:pPr>
  </w:style>
  <w:style w:type="paragraph" w:customStyle="1" w:styleId="Default">
    <w:name w:val="Default"/>
    <w:rsid w:val="00A50A4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D922BA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922BA"/>
    <w:rPr>
      <w:szCs w:val="24"/>
    </w:rPr>
  </w:style>
  <w:style w:type="paragraph" w:styleId="Pidipagina">
    <w:name w:val="footer"/>
    <w:basedOn w:val="Normale"/>
    <w:link w:val="PidipaginaCarattere"/>
    <w:rsid w:val="00D922BA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22BA"/>
    <w:rPr>
      <w:szCs w:val="24"/>
    </w:rPr>
  </w:style>
  <w:style w:type="character" w:styleId="Collegamentoipertestuale">
    <w:name w:val="Hyperlink"/>
    <w:basedOn w:val="Carpredefinitoparagrafo"/>
    <w:rsid w:val="00D05A9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D05A98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C3472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472A"/>
  </w:style>
  <w:style w:type="character" w:styleId="Rimandonotaapidipagina">
    <w:name w:val="footnote reference"/>
    <w:basedOn w:val="Carpredefinitoparagrafo"/>
    <w:rsid w:val="00C347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508AE"/>
    <w:pPr>
      <w:ind w:left="720"/>
      <w:contextualSpacing/>
    </w:pPr>
  </w:style>
  <w:style w:type="paragraph" w:customStyle="1" w:styleId="Default">
    <w:name w:val="Default"/>
    <w:rsid w:val="00A50A4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D922BA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922BA"/>
    <w:rPr>
      <w:szCs w:val="24"/>
    </w:rPr>
  </w:style>
  <w:style w:type="paragraph" w:styleId="Pidipagina">
    <w:name w:val="footer"/>
    <w:basedOn w:val="Normale"/>
    <w:link w:val="PidipaginaCarattere"/>
    <w:rsid w:val="00D922BA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22BA"/>
    <w:rPr>
      <w:szCs w:val="24"/>
    </w:rPr>
  </w:style>
  <w:style w:type="character" w:styleId="Collegamentoipertestuale">
    <w:name w:val="Hyperlink"/>
    <w:basedOn w:val="Carpredefinitoparagrafo"/>
    <w:rsid w:val="00D05A9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D05A98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C3472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472A"/>
  </w:style>
  <w:style w:type="character" w:styleId="Rimandonotaapidipagina">
    <w:name w:val="footnote reference"/>
    <w:basedOn w:val="Carpredefinitoparagrafo"/>
    <w:rsid w:val="00C34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enti.unicatt.it/ita/claudio_frig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enti.unicatt.it/ita/claudio_frigen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dolmetta-aldo-a/trasparenza-dei-prodotti-bancari-9788808058775-18428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oncetta-brescia-morra/il-diritto-delle-banche-le-regole-dellattivita-9788815286123-682064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A3E1-675E-430E-AF56-B022D4EA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498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2022-05-10T09:02:00Z</dcterms:created>
  <dcterms:modified xsi:type="dcterms:W3CDTF">2022-07-19T07:32:00Z</dcterms:modified>
</cp:coreProperties>
</file>