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64A5" w14:textId="77777777" w:rsidR="000F67D7" w:rsidRPr="000F67D7" w:rsidRDefault="000F67D7" w:rsidP="000F67D7">
      <w:pPr>
        <w:tabs>
          <w:tab w:val="clear" w:pos="284"/>
        </w:tabs>
        <w:spacing w:before="480"/>
        <w:ind w:left="284" w:hanging="284"/>
        <w:jc w:val="left"/>
        <w:outlineLvl w:val="0"/>
        <w:rPr>
          <w:rFonts w:ascii="Times" w:hAnsi="Times"/>
          <w:b/>
          <w:noProof/>
          <w:szCs w:val="20"/>
        </w:rPr>
      </w:pPr>
      <w:r w:rsidRPr="000F67D7">
        <w:rPr>
          <w:rFonts w:ascii="Times" w:hAnsi="Times"/>
          <w:b/>
          <w:noProof/>
          <w:szCs w:val="20"/>
        </w:rPr>
        <w:t>Contabilità e bilanci d’impresa</w:t>
      </w:r>
    </w:p>
    <w:p w14:paraId="445CC1F1" w14:textId="77777777" w:rsidR="000F67D7" w:rsidRPr="000F67D7" w:rsidRDefault="000F67D7" w:rsidP="000F67D7">
      <w:pPr>
        <w:tabs>
          <w:tab w:val="clear" w:pos="284"/>
        </w:tabs>
        <w:jc w:val="left"/>
        <w:outlineLvl w:val="1"/>
        <w:rPr>
          <w:rFonts w:ascii="Times" w:hAnsi="Times"/>
          <w:smallCaps/>
          <w:noProof/>
          <w:sz w:val="18"/>
          <w:szCs w:val="20"/>
        </w:rPr>
      </w:pPr>
      <w:r w:rsidRPr="000F67D7">
        <w:rPr>
          <w:rFonts w:ascii="Times" w:hAnsi="Times"/>
          <w:smallCaps/>
          <w:noProof/>
          <w:sz w:val="18"/>
          <w:szCs w:val="20"/>
        </w:rPr>
        <w:t>Prof. Franco Dalla Sega</w:t>
      </w:r>
    </w:p>
    <w:p w14:paraId="358916A3"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OBIETTIVO DEL CORSO</w:t>
      </w:r>
      <w:r w:rsidR="00F71198">
        <w:rPr>
          <w:rFonts w:eastAsia="Calibri"/>
          <w:b/>
          <w:i/>
          <w:sz w:val="18"/>
          <w:szCs w:val="22"/>
          <w:lang w:eastAsia="en-US"/>
        </w:rPr>
        <w:t xml:space="preserve"> E RISULTATI DI APPRENDIMENTO ATTESI</w:t>
      </w:r>
    </w:p>
    <w:p w14:paraId="67364E1E" w14:textId="77777777" w:rsidR="000F67D7" w:rsidRDefault="000F67D7" w:rsidP="000A0C40">
      <w:pPr>
        <w:tabs>
          <w:tab w:val="clear" w:pos="284"/>
        </w:tabs>
        <w:rPr>
          <w:rFonts w:eastAsia="Calibri"/>
          <w:szCs w:val="22"/>
          <w:lang w:eastAsia="en-US"/>
        </w:rPr>
      </w:pPr>
      <w:r w:rsidRPr="000F67D7">
        <w:rPr>
          <w:rFonts w:eastAsia="Calibri"/>
          <w:szCs w:val="22"/>
          <w:lang w:eastAsia="en-US"/>
        </w:rPr>
        <w:t>L'insegnamento di Contabilità e bilanci d'impresa, caratterizzante dell’indirizzo d’Impresa nella laurea magistrale in Giurisprudenza, persegue i seguenti obiettivi didattici:</w:t>
      </w:r>
    </w:p>
    <w:p w14:paraId="295FCC1C" w14:textId="47372AD9"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 xml:space="preserve">illustrare i concetti </w:t>
      </w:r>
      <w:r w:rsidR="004F54D1">
        <w:rPr>
          <w:rFonts w:eastAsia="Calibri"/>
          <w:szCs w:val="22"/>
          <w:lang w:eastAsia="en-US"/>
        </w:rPr>
        <w:t>generali</w:t>
      </w:r>
      <w:r w:rsidR="004F54D1" w:rsidRPr="004A38C5">
        <w:rPr>
          <w:rFonts w:eastAsia="Calibri"/>
          <w:szCs w:val="22"/>
          <w:lang w:eastAsia="en-US"/>
        </w:rPr>
        <w:t xml:space="preserve"> </w:t>
      </w:r>
      <w:r w:rsidRPr="004A38C5">
        <w:rPr>
          <w:rFonts w:eastAsia="Calibri"/>
          <w:szCs w:val="22"/>
          <w:lang w:eastAsia="en-US"/>
        </w:rPr>
        <w:t>dell’economia aziendale (negli aspetti organizzativi, economici e finanziari) e i principi fondamentali della ragioneria, intesa quale disciplina che studia i valori d’impresa;</w:t>
      </w:r>
    </w:p>
    <w:p w14:paraId="5B2627A3" w14:textId="77777777"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sviluppare la capacità di interpretazione della situazione patrimoniale, finanziaria e del risultato economico d’impresa anche attraverso l’analisi di bilanci e di casi aziendali;</w:t>
      </w:r>
    </w:p>
    <w:p w14:paraId="61CB6D68" w14:textId="77777777" w:rsidR="000F67D7" w:rsidRPr="004A38C5" w:rsidRDefault="000F67D7" w:rsidP="00B50C62">
      <w:pPr>
        <w:pStyle w:val="Paragrafoelenco"/>
        <w:numPr>
          <w:ilvl w:val="0"/>
          <w:numId w:val="4"/>
        </w:numPr>
        <w:tabs>
          <w:tab w:val="clear" w:pos="284"/>
        </w:tabs>
        <w:ind w:left="284" w:hanging="284"/>
        <w:rPr>
          <w:rFonts w:eastAsia="Calibri"/>
          <w:szCs w:val="22"/>
          <w:lang w:eastAsia="en-US"/>
        </w:rPr>
      </w:pPr>
      <w:r w:rsidRPr="004A38C5">
        <w:rPr>
          <w:rFonts w:eastAsia="Calibri"/>
          <w:szCs w:val="22"/>
          <w:lang w:eastAsia="en-US"/>
        </w:rPr>
        <w:t>trasmettere una conoscenza di base della logica delle rilevazioni contabili e del metodo della partita doppia.</w:t>
      </w:r>
    </w:p>
    <w:p w14:paraId="7B29CAA4" w14:textId="77777777" w:rsidR="00F71198" w:rsidRDefault="00F71198" w:rsidP="000F67D7">
      <w:pPr>
        <w:tabs>
          <w:tab w:val="clear" w:pos="284"/>
        </w:tabs>
        <w:ind w:left="284" w:hanging="284"/>
        <w:rPr>
          <w:rFonts w:eastAsia="Calibri"/>
          <w:szCs w:val="22"/>
          <w:lang w:eastAsia="en-US"/>
        </w:rPr>
      </w:pPr>
      <w:r>
        <w:rPr>
          <w:rFonts w:eastAsia="Calibri"/>
          <w:szCs w:val="22"/>
          <w:lang w:eastAsia="en-US"/>
        </w:rPr>
        <w:t>Al termine dell’insegnamento lo studente sarà in grado di:</w:t>
      </w:r>
    </w:p>
    <w:p w14:paraId="0D4FF94E" w14:textId="2A73A5B1"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comprendere </w:t>
      </w:r>
      <w:r w:rsidR="004F54D1">
        <w:rPr>
          <w:rFonts w:eastAsia="Calibri"/>
          <w:szCs w:val="22"/>
          <w:lang w:eastAsia="en-US"/>
        </w:rPr>
        <w:t>la logica dei</w:t>
      </w:r>
      <w:r w:rsidRPr="004A38C5">
        <w:rPr>
          <w:rFonts w:eastAsia="Calibri"/>
          <w:szCs w:val="22"/>
          <w:lang w:eastAsia="en-US"/>
        </w:rPr>
        <w:t xml:space="preserve"> processi di rappresentazione dei valori nel bilancio d’esercizio;</w:t>
      </w:r>
    </w:p>
    <w:p w14:paraId="501BE566"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dimostrare conoscenza operativa </w:t>
      </w:r>
      <w:r w:rsidR="00640BD3" w:rsidRPr="004A38C5">
        <w:rPr>
          <w:rFonts w:eastAsia="Calibri"/>
          <w:szCs w:val="22"/>
          <w:lang w:eastAsia="en-US"/>
        </w:rPr>
        <w:t>nell’</w:t>
      </w:r>
      <w:r w:rsidR="00640BD3">
        <w:rPr>
          <w:rFonts w:eastAsia="Calibri"/>
          <w:szCs w:val="22"/>
          <w:lang w:eastAsia="en-US"/>
        </w:rPr>
        <w:t>applicazione</w:t>
      </w:r>
      <w:r w:rsidR="00640BD3" w:rsidRPr="004A38C5">
        <w:rPr>
          <w:rFonts w:eastAsia="Calibri"/>
          <w:szCs w:val="22"/>
          <w:lang w:eastAsia="en-US"/>
        </w:rPr>
        <w:t xml:space="preserve"> </w:t>
      </w:r>
      <w:r w:rsidRPr="004A38C5">
        <w:rPr>
          <w:rFonts w:eastAsia="Calibri"/>
          <w:szCs w:val="22"/>
          <w:lang w:eastAsia="en-US"/>
        </w:rPr>
        <w:t>delle valutazioni per il bilancio d’esercizio;</w:t>
      </w:r>
    </w:p>
    <w:p w14:paraId="593C5F82"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apprezzare la rilevanza dei principi contabili internazionali IAS/IFRS</w:t>
      </w:r>
      <w:r w:rsidR="000A0C40" w:rsidRPr="004A38C5">
        <w:rPr>
          <w:rFonts w:eastAsia="Calibri"/>
          <w:szCs w:val="22"/>
          <w:lang w:eastAsia="en-US"/>
        </w:rPr>
        <w:t>;</w:t>
      </w:r>
    </w:p>
    <w:p w14:paraId="7C28D5D0" w14:textId="77777777" w:rsidR="00F71198" w:rsidRPr="004A38C5" w:rsidRDefault="00F71198" w:rsidP="00B50C62">
      <w:pPr>
        <w:pStyle w:val="Paragrafoelenco"/>
        <w:numPr>
          <w:ilvl w:val="0"/>
          <w:numId w:val="3"/>
        </w:numPr>
        <w:tabs>
          <w:tab w:val="clear" w:pos="284"/>
        </w:tabs>
        <w:ind w:left="284" w:hanging="284"/>
        <w:rPr>
          <w:rFonts w:eastAsia="Calibri"/>
          <w:szCs w:val="22"/>
          <w:lang w:eastAsia="en-US"/>
        </w:rPr>
      </w:pPr>
      <w:r w:rsidRPr="004A38C5">
        <w:rPr>
          <w:rFonts w:eastAsia="Calibri"/>
          <w:szCs w:val="22"/>
          <w:lang w:eastAsia="en-US"/>
        </w:rPr>
        <w:t xml:space="preserve">acquisire un linguaggio tecnico che gli consenta di comunicare con efficacia e chiarezza le conoscenze </w:t>
      </w:r>
      <w:r w:rsidR="00535148" w:rsidRPr="004A38C5">
        <w:rPr>
          <w:rFonts w:eastAsia="Calibri"/>
          <w:szCs w:val="22"/>
          <w:lang w:eastAsia="en-US"/>
        </w:rPr>
        <w:t>apprese</w:t>
      </w:r>
      <w:r w:rsidRPr="004A38C5">
        <w:rPr>
          <w:rFonts w:eastAsia="Calibri"/>
          <w:szCs w:val="22"/>
          <w:lang w:eastAsia="en-US"/>
        </w:rPr>
        <w:t>;</w:t>
      </w:r>
    </w:p>
    <w:p w14:paraId="459F99BA"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PROGRAMMA DEL CORSO</w:t>
      </w:r>
    </w:p>
    <w:p w14:paraId="16D95681"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In via propedeutica il programma prevede l’esame della realtà delle aziende di produzione, con riferimento alle quali sono affrontati i più rilevanti problemi di gestione e organizzazione.</w:t>
      </w:r>
    </w:p>
    <w:p w14:paraId="2AD855DA"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Segue la presentazione della tecnica delle principali rilevazioni contabili, prevalentemente dedicate alla determinazione del risultato d’esercizio, svolte con il metodo della partita doppia.</w:t>
      </w:r>
    </w:p>
    <w:p w14:paraId="48624E82"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 xml:space="preserve">Infine, vengono trattati gli strumenti necessari per comprendere la logica che governa la formazione del bilancio d’esercizio, avuto riguardo ai principi di ordine economico-aziendale e alla normativa in materia. In particolare, si procede all’analisi dei principi guida degli </w:t>
      </w:r>
      <w:r w:rsidRPr="000F67D7">
        <w:rPr>
          <w:rFonts w:eastAsia="Calibri"/>
          <w:i/>
          <w:szCs w:val="22"/>
          <w:lang w:eastAsia="en-US"/>
        </w:rPr>
        <w:t>standard</w:t>
      </w:r>
      <w:r w:rsidRPr="000F67D7">
        <w:rPr>
          <w:rFonts w:eastAsia="Calibri"/>
          <w:szCs w:val="22"/>
          <w:lang w:eastAsia="en-US"/>
        </w:rPr>
        <w:t xml:space="preserve"> contabili nazionali e internazionali (IAS/IFRS).</w:t>
      </w:r>
    </w:p>
    <w:p w14:paraId="7E6AA18C"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Generale</w:t>
      </w:r>
    </w:p>
    <w:p w14:paraId="5BC46D45"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lastRenderedPageBreak/>
        <w:t>1.</w:t>
      </w:r>
      <w:r w:rsidRPr="000F67D7">
        <w:rPr>
          <w:rFonts w:eastAsia="Calibri"/>
          <w:szCs w:val="22"/>
          <w:lang w:eastAsia="en-US"/>
        </w:rPr>
        <w:tab/>
      </w:r>
      <w:r w:rsidRPr="000F67D7">
        <w:rPr>
          <w:rFonts w:eastAsia="Calibri"/>
          <w:i/>
          <w:szCs w:val="22"/>
          <w:lang w:eastAsia="en-US"/>
        </w:rPr>
        <w:t>La gestione, l’organizzazione e la rilevazione aziendale: linee generali</w:t>
      </w:r>
    </w:p>
    <w:p w14:paraId="19A0E22F"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sistema della gestione di impresa.</w:t>
      </w:r>
    </w:p>
    <w:p w14:paraId="4C11F10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L’impresa e le modalità di acquisizione dei fattori produttivi.</w:t>
      </w:r>
    </w:p>
    <w:p w14:paraId="6759609A"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varie nozioni di capitale.</w:t>
      </w:r>
    </w:p>
    <w:p w14:paraId="6ADBEED3"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e capitale nelle loro mutue relazioni.</w:t>
      </w:r>
    </w:p>
    <w:p w14:paraId="126610A9"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capitale e informazione esterna.</w:t>
      </w:r>
    </w:p>
    <w:p w14:paraId="7099EE8C"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Il modello del bilancio d’esercizio</w:t>
      </w:r>
    </w:p>
    <w:p w14:paraId="5C6151D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bilancio di esercizio come sintesi della gestione. Il significato economico-aziendale del reddito di esercizio e del capitale di funzionamento.</w:t>
      </w:r>
    </w:p>
    <w:p w14:paraId="1C8C9A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 principi aziendali alla base della formazione del bilancio di esercizio.</w:t>
      </w:r>
    </w:p>
    <w:p w14:paraId="591265C5"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composizione del sistema informativo di bilancio</w:t>
      </w:r>
    </w:p>
    <w:p w14:paraId="31D72024"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Gli schemi di stato patrimoniale, di conto economico e la loro configurazione.</w:t>
      </w:r>
    </w:p>
    <w:p w14:paraId="24F8DC4C"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rendiconto finanziario.</w:t>
      </w:r>
    </w:p>
    <w:p w14:paraId="7A2813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nota integrativa.</w:t>
      </w:r>
    </w:p>
    <w:p w14:paraId="6E83983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 xml:space="preserve">Le operazioni di </w:t>
      </w:r>
      <w:r w:rsidRPr="000F67D7">
        <w:rPr>
          <w:rFonts w:eastAsia="Calibri"/>
          <w:i/>
          <w:szCs w:val="22"/>
          <w:lang w:eastAsia="en-US"/>
        </w:rPr>
        <w:t>leasing</w:t>
      </w:r>
      <w:r w:rsidRPr="000F67D7">
        <w:rPr>
          <w:rFonts w:eastAsia="Calibri"/>
          <w:szCs w:val="22"/>
          <w:lang w:eastAsia="en-US"/>
        </w:rPr>
        <w:t xml:space="preserve"> finanziario in bilancio.</w:t>
      </w:r>
    </w:p>
    <w:p w14:paraId="4973373E" w14:textId="2622C104" w:rsid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rappresentazione del bilancio d’esercizio secondo i principi contabili internazionali IAS/IFRS.</w:t>
      </w:r>
    </w:p>
    <w:p w14:paraId="5FCB6D27" w14:textId="4819D20A" w:rsidR="005B3AB4" w:rsidRPr="000F67D7" w:rsidRDefault="005B3AB4" w:rsidP="00B50C62">
      <w:pPr>
        <w:tabs>
          <w:tab w:val="clear" w:pos="284"/>
        </w:tabs>
        <w:ind w:left="284"/>
        <w:rPr>
          <w:rFonts w:eastAsia="Calibri"/>
          <w:szCs w:val="22"/>
          <w:lang w:eastAsia="en-US"/>
        </w:rPr>
      </w:pPr>
      <w:r w:rsidRPr="00B50C62">
        <w:rPr>
          <w:rFonts w:eastAsia="Calibri"/>
          <w:szCs w:val="22"/>
          <w:lang w:eastAsia="en-US"/>
        </w:rPr>
        <w:t>La dichiarazione non finanziaria.</w:t>
      </w:r>
    </w:p>
    <w:p w14:paraId="641B2774"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4.</w:t>
      </w:r>
      <w:r w:rsidRPr="000F67D7">
        <w:rPr>
          <w:rFonts w:eastAsia="Calibri"/>
          <w:szCs w:val="22"/>
          <w:lang w:eastAsia="en-US"/>
        </w:rPr>
        <w:tab/>
      </w:r>
      <w:r w:rsidRPr="000F67D7">
        <w:rPr>
          <w:rFonts w:eastAsia="Calibri"/>
          <w:i/>
          <w:szCs w:val="22"/>
          <w:lang w:eastAsia="en-US"/>
        </w:rPr>
        <w:t>Le valutazioni di bilancio</w:t>
      </w:r>
    </w:p>
    <w:p w14:paraId="00C5767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metodologia delle determinazioni quantitative d’esercizio.</w:t>
      </w:r>
    </w:p>
    <w:p w14:paraId="325F82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valutazione delle principali poste del patrimonio aziendale.</w:t>
      </w:r>
    </w:p>
    <w:p w14:paraId="150E5652" w14:textId="77777777" w:rsidR="000F67D7" w:rsidRPr="000F67D7" w:rsidRDefault="000F67D7" w:rsidP="000F67D7">
      <w:pPr>
        <w:tabs>
          <w:tab w:val="clear" w:pos="284"/>
        </w:tabs>
        <w:ind w:left="284" w:hanging="284"/>
        <w:rPr>
          <w:rFonts w:eastAsia="Calibri"/>
          <w:szCs w:val="22"/>
          <w:lang w:val="en-US" w:eastAsia="en-US"/>
        </w:rPr>
      </w:pPr>
      <w:r w:rsidRPr="000F67D7">
        <w:rPr>
          <w:rFonts w:eastAsia="Calibri"/>
          <w:szCs w:val="22"/>
          <w:lang w:val="en-US" w:eastAsia="en-US"/>
        </w:rPr>
        <w:t>–</w:t>
      </w:r>
      <w:r w:rsidRPr="000F67D7">
        <w:rPr>
          <w:rFonts w:eastAsia="Calibri"/>
          <w:szCs w:val="22"/>
          <w:lang w:val="en-US" w:eastAsia="en-US"/>
        </w:rPr>
        <w:tab/>
        <w:t>“</w:t>
      </w:r>
      <w:r w:rsidRPr="000F67D7">
        <w:rPr>
          <w:rFonts w:eastAsia="Calibri"/>
          <w:i/>
          <w:szCs w:val="22"/>
          <w:lang w:val="en-US" w:eastAsia="en-US"/>
        </w:rPr>
        <w:t>Property, Plant and Equipment”, “Intangible Assets”, “Impairment of Assets” e “Financial Instruments</w:t>
      </w:r>
      <w:r w:rsidRPr="000F67D7">
        <w:rPr>
          <w:rFonts w:eastAsia="Calibri"/>
          <w:szCs w:val="22"/>
          <w:lang w:val="en-US" w:eastAsia="en-US"/>
        </w:rPr>
        <w:t>” secondo i principi contabili internazionali IAS/IFRS.</w:t>
      </w:r>
    </w:p>
    <w:p w14:paraId="62123BFA" w14:textId="77777777" w:rsidR="000F67D7" w:rsidRPr="000F67D7" w:rsidRDefault="000F67D7" w:rsidP="004A38C5">
      <w:pPr>
        <w:tabs>
          <w:tab w:val="clear" w:pos="284"/>
        </w:tabs>
        <w:spacing w:before="120"/>
        <w:rPr>
          <w:rFonts w:eastAsia="Calibri"/>
          <w:szCs w:val="22"/>
          <w:lang w:eastAsia="en-US"/>
        </w:rPr>
      </w:pPr>
      <w:r w:rsidRPr="000F67D7">
        <w:rPr>
          <w:rFonts w:eastAsia="Calibri"/>
          <w:szCs w:val="22"/>
          <w:lang w:eastAsia="en-US"/>
        </w:rPr>
        <w:t>Costituisce parte integrante del programma lo sviluppo del seguente piano organico di esercitazioni.</w:t>
      </w:r>
    </w:p>
    <w:p w14:paraId="7093C025"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Applicativa</w:t>
      </w:r>
    </w:p>
    <w:p w14:paraId="6F3F3730"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t>1.</w:t>
      </w:r>
      <w:r w:rsidRPr="000F67D7">
        <w:rPr>
          <w:rFonts w:eastAsia="Calibri"/>
          <w:szCs w:val="22"/>
          <w:lang w:eastAsia="en-US"/>
        </w:rPr>
        <w:tab/>
      </w:r>
      <w:r w:rsidRPr="000F67D7">
        <w:rPr>
          <w:rFonts w:eastAsia="Calibri"/>
          <w:i/>
          <w:szCs w:val="22"/>
          <w:lang w:eastAsia="en-US"/>
        </w:rPr>
        <w:t>Le regole operative di rilevazione</w:t>
      </w:r>
    </w:p>
    <w:p w14:paraId="67350E1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conto come strumento di rilevazione.</w:t>
      </w:r>
    </w:p>
    <w:p w14:paraId="796996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metodo della partita doppia.</w:t>
      </w:r>
    </w:p>
    <w:p w14:paraId="62AFCA1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funzionamento dei conti nell’ambito del sistema proposto.</w:t>
      </w:r>
    </w:p>
    <w:p w14:paraId="0CE9D21E"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La rilevazione sistematica delle operazioni aziendali</w:t>
      </w:r>
    </w:p>
    <w:p w14:paraId="012E8DF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L’acquisizione dei fattori produttivi.</w:t>
      </w:r>
    </w:p>
    <w:p w14:paraId="7209C227"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vendita di prodotti/servizi.</w:t>
      </w:r>
    </w:p>
    <w:p w14:paraId="7B6A488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scritture di assestamento.</w:t>
      </w:r>
    </w:p>
    <w:p w14:paraId="376E54AA"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determinazione periodica del reddito di esercizio e del capitale di funzionamento</w:t>
      </w:r>
    </w:p>
    <w:p w14:paraId="1EB2D8F3" w14:textId="24912782"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lastRenderedPageBreak/>
        <w:t>BIBLIOGRAFIA</w:t>
      </w:r>
      <w:r w:rsidR="00975C88">
        <w:rPr>
          <w:rStyle w:val="Rimandonotaapidipagina"/>
          <w:rFonts w:eastAsia="Calibri"/>
          <w:b/>
          <w:i/>
          <w:sz w:val="18"/>
          <w:szCs w:val="22"/>
          <w:lang w:eastAsia="en-US"/>
        </w:rPr>
        <w:footnoteReference w:id="1"/>
      </w:r>
    </w:p>
    <w:p w14:paraId="4E3997ED"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 xml:space="preserve">Indicazioni bibliografiche verranno comunicate all’inizio del corso direttamente dal docente e nella pagina web dello stesso sul sito </w:t>
      </w:r>
      <w:r w:rsidRPr="000F67D7">
        <w:rPr>
          <w:rFonts w:ascii="Times" w:hAnsi="Times"/>
          <w:i/>
          <w:noProof/>
          <w:sz w:val="18"/>
          <w:szCs w:val="20"/>
        </w:rPr>
        <w:t>www.unicatt.it</w:t>
      </w:r>
      <w:r w:rsidRPr="000F67D7">
        <w:rPr>
          <w:rFonts w:ascii="Times" w:hAnsi="Times"/>
          <w:noProof/>
          <w:sz w:val="18"/>
          <w:szCs w:val="20"/>
        </w:rPr>
        <w:t>.</w:t>
      </w:r>
    </w:p>
    <w:p w14:paraId="12863B0A"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Eventuali ulteriori indicazioni, nonché materiale di documentazione e di studio, verranno segnalati agli studenti durante l’anno nel corso delle lezioni e nella pagina web del docente.</w:t>
      </w:r>
    </w:p>
    <w:p w14:paraId="42939D3D"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DIDATTICA DEL CORSO</w:t>
      </w:r>
    </w:p>
    <w:p w14:paraId="34040640" w14:textId="77777777" w:rsidR="000F67D7"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L’approccio didattico istituzionale trova un utile arricchimento in esercitazioni pratiche sulle rilevazioni contabili, introdotte durante il corso quale contributo offerto allo studente per una sua più approfondita comprensione degli aspetti tecnici delle determinazioni quantitative d’azienda.</w:t>
      </w:r>
    </w:p>
    <w:p w14:paraId="19709DF8"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 xml:space="preserve">METODO </w:t>
      </w:r>
      <w:r w:rsidR="000A0C40">
        <w:rPr>
          <w:rFonts w:eastAsia="Calibri"/>
          <w:b/>
          <w:i/>
          <w:sz w:val="18"/>
          <w:szCs w:val="22"/>
          <w:lang w:eastAsia="en-US"/>
        </w:rPr>
        <w:t xml:space="preserve">E CRITERI </w:t>
      </w:r>
      <w:r w:rsidRPr="000F67D7">
        <w:rPr>
          <w:rFonts w:eastAsia="Calibri"/>
          <w:b/>
          <w:i/>
          <w:sz w:val="18"/>
          <w:szCs w:val="22"/>
          <w:lang w:eastAsia="en-US"/>
        </w:rPr>
        <w:t>DI VALUTAZIONE</w:t>
      </w:r>
    </w:p>
    <w:p w14:paraId="1068E8F8" w14:textId="3F5DE131" w:rsidR="000A0C40" w:rsidRDefault="000A0C40" w:rsidP="000F67D7">
      <w:pPr>
        <w:tabs>
          <w:tab w:val="clear" w:pos="284"/>
        </w:tabs>
        <w:spacing w:line="220" w:lineRule="exact"/>
        <w:ind w:left="256" w:hangingChars="142" w:hanging="256"/>
        <w:rPr>
          <w:rFonts w:ascii="Times" w:hAnsi="Times"/>
          <w:noProof/>
          <w:sz w:val="18"/>
          <w:szCs w:val="20"/>
        </w:rPr>
      </w:pPr>
      <w:r>
        <w:rPr>
          <w:rFonts w:ascii="Times" w:hAnsi="Times"/>
          <w:noProof/>
          <w:sz w:val="18"/>
          <w:szCs w:val="20"/>
        </w:rPr>
        <w:t>L’esame si svolge in due parti, entrambe obbligatorie per tutti gli studenti</w:t>
      </w:r>
      <w:r w:rsidR="004F54D1">
        <w:rPr>
          <w:rFonts w:ascii="Times" w:hAnsi="Times"/>
          <w:noProof/>
          <w:sz w:val="18"/>
          <w:szCs w:val="20"/>
        </w:rPr>
        <w:t xml:space="preserve"> [*]</w:t>
      </w:r>
      <w:r>
        <w:rPr>
          <w:rFonts w:ascii="Times" w:hAnsi="Times"/>
          <w:noProof/>
          <w:sz w:val="18"/>
          <w:szCs w:val="20"/>
        </w:rPr>
        <w:t>:</w:t>
      </w:r>
    </w:p>
    <w:p w14:paraId="23BE3C93" w14:textId="77777777" w:rsidR="000F67D7" w:rsidRDefault="000A0C40" w:rsidP="000A0C40">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sidRPr="000A0C40">
        <w:rPr>
          <w:rFonts w:ascii="Times" w:hAnsi="Times"/>
          <w:noProof/>
          <w:sz w:val="18"/>
          <w:szCs w:val="20"/>
        </w:rPr>
        <w:t xml:space="preserve">Un esame scritto (prova parziale) </w:t>
      </w:r>
      <w:r w:rsidR="000F67D7" w:rsidRPr="000A0C40">
        <w:rPr>
          <w:rFonts w:ascii="Times" w:hAnsi="Times"/>
          <w:noProof/>
          <w:sz w:val="18"/>
          <w:szCs w:val="20"/>
        </w:rPr>
        <w:t>di 90 minuti sulla “parte applicativa” del programma, volta ad accertare la conoscenza</w:t>
      </w:r>
      <w:r w:rsidRPr="000A0C40">
        <w:rPr>
          <w:rFonts w:ascii="Times" w:hAnsi="Times"/>
          <w:noProof/>
          <w:sz w:val="18"/>
          <w:szCs w:val="20"/>
        </w:rPr>
        <w:t xml:space="preserve"> </w:t>
      </w:r>
      <w:r w:rsidR="000F67D7" w:rsidRPr="000A0C40">
        <w:rPr>
          <w:rFonts w:ascii="Times" w:hAnsi="Times"/>
          <w:noProof/>
          <w:sz w:val="18"/>
          <w:szCs w:val="20"/>
        </w:rPr>
        <w:t>delle rilevazioni contabili di base</w:t>
      </w:r>
      <w:r>
        <w:rPr>
          <w:rFonts w:ascii="Times" w:hAnsi="Times"/>
          <w:noProof/>
          <w:sz w:val="18"/>
          <w:szCs w:val="20"/>
        </w:rPr>
        <w:t xml:space="preserve"> e </w:t>
      </w:r>
      <w:r w:rsidR="000F67D7" w:rsidRPr="000F67D7">
        <w:rPr>
          <w:rFonts w:ascii="Times" w:hAnsi="Times"/>
          <w:noProof/>
          <w:sz w:val="18"/>
          <w:szCs w:val="20"/>
        </w:rPr>
        <w:t>della logica di rappresentazione dei valori negli schemi di stato patrimoniale e di conto economico previsti dal Codice Civile.</w:t>
      </w:r>
      <w:r w:rsidR="002D68B7">
        <w:rPr>
          <w:rFonts w:ascii="Times" w:hAnsi="Times"/>
          <w:noProof/>
          <w:sz w:val="18"/>
          <w:szCs w:val="20"/>
        </w:rPr>
        <w:t xml:space="preserve"> Per poter accedere all’orale gli studenti devono aver superato la prova scritta.</w:t>
      </w:r>
    </w:p>
    <w:p w14:paraId="54269C02" w14:textId="77777777" w:rsidR="000F67D7" w:rsidRPr="000F67D7" w:rsidRDefault="002D68B7" w:rsidP="002D68B7">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Pr>
          <w:rFonts w:ascii="Times" w:hAnsi="Times"/>
          <w:noProof/>
          <w:sz w:val="18"/>
          <w:szCs w:val="20"/>
        </w:rPr>
        <w:t xml:space="preserve">Un esame orale nel quale </w:t>
      </w:r>
      <w:r w:rsidR="000F67D7" w:rsidRPr="000F67D7">
        <w:rPr>
          <w:rFonts w:ascii="Times" w:hAnsi="Times"/>
          <w:noProof/>
          <w:sz w:val="18"/>
          <w:szCs w:val="20"/>
        </w:rPr>
        <w:t>verranno accertati i risultati dell’apprendimento con riferimento alla “parte generale”. È richiesta:</w:t>
      </w:r>
    </w:p>
    <w:p w14:paraId="683BD2F0" w14:textId="77777777" w:rsidR="000F67D7" w:rsidRP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conoscenza dei concetti fondamentali dell’economia d’azienda;</w:t>
      </w:r>
    </w:p>
    <w:p w14:paraId="5A1835B3" w14:textId="0F94DF48" w:rsid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capacità di analisi di temi di rappresentazione e di valutazione per il bilancio d’esercizio.</w:t>
      </w:r>
    </w:p>
    <w:p w14:paraId="3B95CB3D" w14:textId="27B44140" w:rsidR="004F54D1" w:rsidRPr="00A720FE" w:rsidRDefault="004F54D1" w:rsidP="000F67D7">
      <w:pPr>
        <w:tabs>
          <w:tab w:val="clear" w:pos="284"/>
        </w:tabs>
        <w:spacing w:line="220" w:lineRule="exact"/>
        <w:ind w:leftChars="142" w:left="565" w:hangingChars="156" w:hanging="281"/>
        <w:rPr>
          <w:rFonts w:ascii="Times" w:hAnsi="Times"/>
          <w:i/>
          <w:iCs/>
          <w:noProof/>
          <w:sz w:val="18"/>
          <w:szCs w:val="20"/>
        </w:rPr>
      </w:pPr>
      <w:r>
        <w:rPr>
          <w:rFonts w:ascii="Times" w:hAnsi="Times"/>
          <w:noProof/>
          <w:sz w:val="18"/>
          <w:szCs w:val="20"/>
        </w:rPr>
        <w:t xml:space="preserve">[*] </w:t>
      </w:r>
      <w:r>
        <w:rPr>
          <w:rFonts w:ascii="Times" w:hAnsi="Times"/>
          <w:i/>
          <w:iCs/>
          <w:noProof/>
          <w:sz w:val="18"/>
          <w:szCs w:val="20"/>
        </w:rPr>
        <w:t>fatto salvo quanto previsto dall’Ateneo in ordine all’erogazione degli esami durante il periodo di emergenza Covid-19</w:t>
      </w:r>
    </w:p>
    <w:p w14:paraId="6DD0FF2C" w14:textId="77777777" w:rsidR="000F67D7" w:rsidRPr="000F67D7" w:rsidRDefault="000F67D7" w:rsidP="000F67D7">
      <w:pPr>
        <w:tabs>
          <w:tab w:val="clear" w:pos="284"/>
        </w:tabs>
        <w:spacing w:before="240" w:after="120"/>
        <w:rPr>
          <w:rFonts w:eastAsia="Calibri"/>
          <w:b/>
          <w:i/>
          <w:sz w:val="18"/>
          <w:szCs w:val="22"/>
          <w:lang w:eastAsia="en-US"/>
        </w:rPr>
      </w:pPr>
      <w:r w:rsidRPr="000F67D7">
        <w:rPr>
          <w:rFonts w:eastAsia="Calibri"/>
          <w:b/>
          <w:i/>
          <w:sz w:val="18"/>
          <w:szCs w:val="22"/>
          <w:lang w:eastAsia="en-US"/>
        </w:rPr>
        <w:t>AVVERTENZE</w:t>
      </w:r>
      <w:r w:rsidR="002D68B7">
        <w:rPr>
          <w:rFonts w:eastAsia="Calibri"/>
          <w:b/>
          <w:i/>
          <w:sz w:val="18"/>
          <w:szCs w:val="22"/>
          <w:lang w:eastAsia="en-US"/>
        </w:rPr>
        <w:t xml:space="preserve"> E PREREQUISITI</w:t>
      </w:r>
    </w:p>
    <w:p w14:paraId="05DA3173" w14:textId="77777777" w:rsid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 xml:space="preserve">La frequenza costante alle lezioni </w:t>
      </w:r>
      <w:r w:rsidR="00C94EF9">
        <w:rPr>
          <w:rFonts w:ascii="Times" w:hAnsi="Times"/>
          <w:noProof/>
          <w:sz w:val="18"/>
          <w:szCs w:val="20"/>
        </w:rPr>
        <w:t xml:space="preserve">e alle esercitazioni </w:t>
      </w:r>
      <w:r w:rsidRPr="000F67D7">
        <w:rPr>
          <w:rFonts w:ascii="Times" w:hAnsi="Times"/>
          <w:noProof/>
          <w:sz w:val="18"/>
          <w:szCs w:val="20"/>
        </w:rPr>
        <w:t xml:space="preserve">costituisce condizione </w:t>
      </w:r>
      <w:r w:rsidR="00535148">
        <w:rPr>
          <w:rFonts w:ascii="Times" w:hAnsi="Times"/>
          <w:noProof/>
          <w:sz w:val="18"/>
          <w:szCs w:val="20"/>
        </w:rPr>
        <w:t>essenziale</w:t>
      </w:r>
      <w:r w:rsidRPr="000F67D7">
        <w:rPr>
          <w:rFonts w:ascii="Times" w:hAnsi="Times"/>
          <w:noProof/>
          <w:sz w:val="18"/>
          <w:szCs w:val="20"/>
        </w:rPr>
        <w:t xml:space="preserve"> per un'idonea preparazione della materia.</w:t>
      </w:r>
    </w:p>
    <w:p w14:paraId="1EA7C300" w14:textId="77777777" w:rsidR="002D68B7" w:rsidRDefault="002D68B7" w:rsidP="000F67D7">
      <w:pPr>
        <w:tabs>
          <w:tab w:val="clear" w:pos="284"/>
        </w:tabs>
        <w:spacing w:line="220" w:lineRule="exact"/>
        <w:ind w:firstLine="284"/>
        <w:rPr>
          <w:rFonts w:ascii="Times" w:hAnsi="Times"/>
          <w:noProof/>
          <w:sz w:val="18"/>
          <w:szCs w:val="20"/>
        </w:rPr>
      </w:pPr>
      <w:r>
        <w:rPr>
          <w:rFonts w:ascii="Times" w:hAnsi="Times"/>
          <w:noProof/>
          <w:sz w:val="18"/>
          <w:szCs w:val="20"/>
        </w:rPr>
        <w:t>Avendo carattere introduttivo, l’insegnamento non richiede requisiti specifici relativamente ai contenuti. Si presuppone comunque interesse e curiosità intellettuale per la riflessione su tematiche aziendali e sulle modalità di determinazione e rappresentazione dei valori d’impresa.</w:t>
      </w:r>
    </w:p>
    <w:p w14:paraId="24F08FA6" w14:textId="77777777" w:rsidR="00E65BFF" w:rsidRDefault="00E65BFF" w:rsidP="00E65BFF">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BC39312" w14:textId="77777777" w:rsidR="000F67D7" w:rsidRPr="000F67D7" w:rsidRDefault="000F67D7" w:rsidP="000F67D7">
      <w:pPr>
        <w:tabs>
          <w:tab w:val="clear" w:pos="284"/>
        </w:tabs>
        <w:spacing w:before="120" w:line="220" w:lineRule="exact"/>
        <w:ind w:firstLine="284"/>
        <w:rPr>
          <w:rFonts w:ascii="Times" w:hAnsi="Times"/>
          <w:i/>
          <w:noProof/>
          <w:sz w:val="18"/>
          <w:szCs w:val="20"/>
        </w:rPr>
      </w:pPr>
      <w:r w:rsidRPr="000F67D7">
        <w:rPr>
          <w:rFonts w:ascii="Times" w:hAnsi="Times"/>
          <w:i/>
          <w:noProof/>
          <w:sz w:val="18"/>
          <w:szCs w:val="20"/>
        </w:rPr>
        <w:lastRenderedPageBreak/>
        <w:t>Orario e luogo di ricevimento</w:t>
      </w:r>
    </w:p>
    <w:p w14:paraId="58EDE31E" w14:textId="77777777" w:rsidR="006F1772"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Il Prof. Franco Dalla Sega riceve gli studenti come da avviso affisso all’albo presso il Dipartimento di Scienze dell’Economia e della Gestione Aziendale (via Necchi 9, uff. n. 203).</w:t>
      </w:r>
    </w:p>
    <w:sectPr w:rsidR="006F1772" w:rsidRPr="000F67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BC9D" w14:textId="77777777" w:rsidR="00993BC0" w:rsidRDefault="00993BC0" w:rsidP="000F67D7">
      <w:pPr>
        <w:spacing w:line="240" w:lineRule="auto"/>
      </w:pPr>
      <w:r>
        <w:separator/>
      </w:r>
    </w:p>
  </w:endnote>
  <w:endnote w:type="continuationSeparator" w:id="0">
    <w:p w14:paraId="251511BF" w14:textId="77777777" w:rsidR="00993BC0" w:rsidRDefault="00993BC0" w:rsidP="000F6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60A37" w14:textId="77777777" w:rsidR="00993BC0" w:rsidRDefault="00993BC0" w:rsidP="000F67D7">
      <w:pPr>
        <w:spacing w:line="240" w:lineRule="auto"/>
      </w:pPr>
      <w:r>
        <w:separator/>
      </w:r>
    </w:p>
  </w:footnote>
  <w:footnote w:type="continuationSeparator" w:id="0">
    <w:p w14:paraId="54B3D5DF" w14:textId="77777777" w:rsidR="00993BC0" w:rsidRDefault="00993BC0" w:rsidP="000F67D7">
      <w:pPr>
        <w:spacing w:line="240" w:lineRule="auto"/>
      </w:pPr>
      <w:r>
        <w:continuationSeparator/>
      </w:r>
    </w:p>
  </w:footnote>
  <w:footnote w:id="1">
    <w:p w14:paraId="6FA55A4D" w14:textId="4F7D8589" w:rsidR="00975C88" w:rsidRDefault="00975C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7A7"/>
    <w:multiLevelType w:val="hybridMultilevel"/>
    <w:tmpl w:val="C22A4708"/>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072D8E"/>
    <w:multiLevelType w:val="hybridMultilevel"/>
    <w:tmpl w:val="924E4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E84639"/>
    <w:multiLevelType w:val="hybridMultilevel"/>
    <w:tmpl w:val="060A2288"/>
    <w:lvl w:ilvl="0" w:tplc="B98A93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CC1233"/>
    <w:multiLevelType w:val="hybridMultilevel"/>
    <w:tmpl w:val="E2D46BE4"/>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9E7AC1"/>
    <w:multiLevelType w:val="hybridMultilevel"/>
    <w:tmpl w:val="1006F292"/>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A0C40"/>
    <w:rsid w:val="000F67D7"/>
    <w:rsid w:val="00187B99"/>
    <w:rsid w:val="002014DD"/>
    <w:rsid w:val="002C6254"/>
    <w:rsid w:val="002D68B7"/>
    <w:rsid w:val="00324EF6"/>
    <w:rsid w:val="004A38C5"/>
    <w:rsid w:val="004D1217"/>
    <w:rsid w:val="004D6008"/>
    <w:rsid w:val="004F54D1"/>
    <w:rsid w:val="005027BA"/>
    <w:rsid w:val="00535148"/>
    <w:rsid w:val="005B3AB4"/>
    <w:rsid w:val="00615BC8"/>
    <w:rsid w:val="00640BD3"/>
    <w:rsid w:val="006F1772"/>
    <w:rsid w:val="008A1204"/>
    <w:rsid w:val="00900CCA"/>
    <w:rsid w:val="00924B77"/>
    <w:rsid w:val="00940DA2"/>
    <w:rsid w:val="00947C15"/>
    <w:rsid w:val="0096023E"/>
    <w:rsid w:val="00975C88"/>
    <w:rsid w:val="00993BC0"/>
    <w:rsid w:val="009A4AAA"/>
    <w:rsid w:val="009E055C"/>
    <w:rsid w:val="00A720FE"/>
    <w:rsid w:val="00A74F6F"/>
    <w:rsid w:val="00AD7557"/>
    <w:rsid w:val="00AF3B98"/>
    <w:rsid w:val="00B50C62"/>
    <w:rsid w:val="00B51253"/>
    <w:rsid w:val="00B525CC"/>
    <w:rsid w:val="00C60B2E"/>
    <w:rsid w:val="00C626F1"/>
    <w:rsid w:val="00C94EF9"/>
    <w:rsid w:val="00CC4D1F"/>
    <w:rsid w:val="00D35D5A"/>
    <w:rsid w:val="00D404F2"/>
    <w:rsid w:val="00E008FA"/>
    <w:rsid w:val="00E607E6"/>
    <w:rsid w:val="00E65BFF"/>
    <w:rsid w:val="00F71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Revisione">
    <w:name w:val="Revision"/>
    <w:hidden/>
    <w:uiPriority w:val="99"/>
    <w:semiHidden/>
    <w:rsid w:val="009A4AAA"/>
    <w:rPr>
      <w:szCs w:val="24"/>
    </w:rPr>
  </w:style>
  <w:style w:type="paragraph" w:styleId="Testonotaapidipagina">
    <w:name w:val="footnote text"/>
    <w:basedOn w:val="Normale"/>
    <w:link w:val="TestonotaapidipaginaCarattere"/>
    <w:semiHidden/>
    <w:unhideWhenUsed/>
    <w:rsid w:val="00975C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75C88"/>
  </w:style>
  <w:style w:type="character" w:styleId="Rimandonotaapidipagina">
    <w:name w:val="footnote reference"/>
    <w:basedOn w:val="Carpredefinitoparagrafo"/>
    <w:semiHidden/>
    <w:unhideWhenUsed/>
    <w:rsid w:val="00975C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Revisione">
    <w:name w:val="Revision"/>
    <w:hidden/>
    <w:uiPriority w:val="99"/>
    <w:semiHidden/>
    <w:rsid w:val="009A4AAA"/>
    <w:rPr>
      <w:szCs w:val="24"/>
    </w:rPr>
  </w:style>
  <w:style w:type="paragraph" w:styleId="Testonotaapidipagina">
    <w:name w:val="footnote text"/>
    <w:basedOn w:val="Normale"/>
    <w:link w:val="TestonotaapidipaginaCarattere"/>
    <w:semiHidden/>
    <w:unhideWhenUsed/>
    <w:rsid w:val="00975C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75C88"/>
  </w:style>
  <w:style w:type="character" w:styleId="Rimandonotaapidipagina">
    <w:name w:val="footnote reference"/>
    <w:basedOn w:val="Carpredefinitoparagrafo"/>
    <w:semiHidden/>
    <w:unhideWhenUsed/>
    <w:rsid w:val="00975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FC4F-CCEA-4754-8918-ABD524C2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2021-05-13T07:31:00Z</cp:lastPrinted>
  <dcterms:created xsi:type="dcterms:W3CDTF">2022-05-13T10:24:00Z</dcterms:created>
  <dcterms:modified xsi:type="dcterms:W3CDTF">2022-07-15T12:53:00Z</dcterms:modified>
</cp:coreProperties>
</file>