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7D38E" w14:textId="77777777" w:rsidR="002D5E17" w:rsidRDefault="00714EBE" w:rsidP="00714EBE">
      <w:pPr>
        <w:pStyle w:val="Titolo1"/>
      </w:pPr>
      <w:r w:rsidRPr="00714EBE">
        <w:t xml:space="preserve">Economia </w:t>
      </w:r>
      <w:r>
        <w:t>a</w:t>
      </w:r>
      <w:r w:rsidR="0033437D">
        <w:t>ziendale</w:t>
      </w:r>
    </w:p>
    <w:p w14:paraId="021BD577" w14:textId="77777777" w:rsidR="00714EBE" w:rsidRPr="00BD5D79" w:rsidRDefault="00714EBE" w:rsidP="00714EBE">
      <w:pPr>
        <w:pStyle w:val="Titolo2"/>
      </w:pPr>
      <w:r>
        <w:t>Prof. Stefano Colli-Lanzi; Prof. Giacomo Magnani</w:t>
      </w:r>
    </w:p>
    <w:p w14:paraId="00D8F8C5" w14:textId="77777777" w:rsidR="00714EBE" w:rsidRDefault="00714EBE" w:rsidP="00714EBE">
      <w:pPr>
        <w:spacing w:before="240" w:after="120" w:line="240" w:lineRule="exact"/>
        <w:jc w:val="both"/>
        <w:rPr>
          <w:b/>
          <w:sz w:val="18"/>
        </w:rPr>
      </w:pPr>
      <w:r>
        <w:rPr>
          <w:b/>
          <w:i/>
          <w:sz w:val="18"/>
        </w:rPr>
        <w:t>OBIETTIVO DEL CORSO E RISULTATI DI APPRENDIMENTO ATTESI</w:t>
      </w:r>
    </w:p>
    <w:p w14:paraId="1ECC5C70" w14:textId="77777777" w:rsidR="00714EBE" w:rsidRPr="00714EBE" w:rsidRDefault="00714EBE" w:rsidP="0033437D">
      <w:pPr>
        <w:spacing w:line="240" w:lineRule="exact"/>
        <w:jc w:val="both"/>
        <w:rPr>
          <w:rFonts w:ascii="Times" w:hAnsi="Times" w:cs="Times"/>
          <w:sz w:val="20"/>
        </w:rPr>
      </w:pPr>
      <w:r w:rsidRPr="00714EBE">
        <w:rPr>
          <w:rFonts w:ascii="Times" w:hAnsi="Times" w:cs="Times"/>
          <w:sz w:val="20"/>
        </w:rPr>
        <w:t>Il corso, introduttivo alle discipline economico-aziendali, ha l’obiettivo di presentare allo studente:</w:t>
      </w:r>
    </w:p>
    <w:p w14:paraId="2102E802" w14:textId="77777777" w:rsidR="00714EBE" w:rsidRPr="00714EBE" w:rsidRDefault="00714EBE" w:rsidP="0033437D">
      <w:pPr>
        <w:pStyle w:val="Paragrafoelenco"/>
        <w:numPr>
          <w:ilvl w:val="0"/>
          <w:numId w:val="3"/>
        </w:numPr>
        <w:spacing w:line="240" w:lineRule="exact"/>
        <w:ind w:left="284" w:hanging="284"/>
        <w:jc w:val="both"/>
        <w:rPr>
          <w:rFonts w:ascii="Times" w:hAnsi="Times" w:cs="Times"/>
          <w:sz w:val="20"/>
        </w:rPr>
      </w:pPr>
      <w:r w:rsidRPr="00714EBE">
        <w:rPr>
          <w:rFonts w:ascii="Times" w:hAnsi="Times" w:cs="Times"/>
          <w:sz w:val="20"/>
        </w:rPr>
        <w:t>la natura e la varietà delle aziende;</w:t>
      </w:r>
    </w:p>
    <w:p w14:paraId="078B6BAF" w14:textId="77777777" w:rsidR="00714EBE" w:rsidRPr="00714EBE" w:rsidRDefault="00714EBE" w:rsidP="0033437D">
      <w:pPr>
        <w:pStyle w:val="Paragrafoelenco"/>
        <w:numPr>
          <w:ilvl w:val="0"/>
          <w:numId w:val="3"/>
        </w:numPr>
        <w:spacing w:line="240" w:lineRule="exact"/>
        <w:ind w:left="284" w:hanging="284"/>
        <w:jc w:val="both"/>
        <w:rPr>
          <w:rFonts w:ascii="Times" w:hAnsi="Times" w:cs="Times"/>
          <w:sz w:val="20"/>
        </w:rPr>
      </w:pPr>
      <w:r w:rsidRPr="00714EBE">
        <w:rPr>
          <w:rFonts w:ascii="Times" w:hAnsi="Times" w:cs="Times"/>
          <w:sz w:val="20"/>
        </w:rPr>
        <w:t>i principi e il linguaggio tipico dell’Economia Aziendale;</w:t>
      </w:r>
    </w:p>
    <w:p w14:paraId="0AAED755" w14:textId="77777777" w:rsidR="00714EBE" w:rsidRPr="00714EBE" w:rsidRDefault="00714EBE" w:rsidP="0033437D">
      <w:pPr>
        <w:pStyle w:val="Paragrafoelenco"/>
        <w:numPr>
          <w:ilvl w:val="0"/>
          <w:numId w:val="3"/>
        </w:numPr>
        <w:spacing w:line="240" w:lineRule="exact"/>
        <w:ind w:left="284" w:hanging="284"/>
        <w:jc w:val="both"/>
        <w:rPr>
          <w:rFonts w:ascii="Times" w:hAnsi="Times" w:cs="Times"/>
          <w:sz w:val="20"/>
        </w:rPr>
      </w:pPr>
      <w:r w:rsidRPr="00714EBE">
        <w:rPr>
          <w:rFonts w:ascii="Times" w:hAnsi="Times" w:cs="Times"/>
          <w:sz w:val="20"/>
        </w:rPr>
        <w:t xml:space="preserve">la logica delle rilevazioni contabili e del metodo della partita doppia. </w:t>
      </w:r>
    </w:p>
    <w:p w14:paraId="70877CEE" w14:textId="77777777" w:rsidR="00714EBE" w:rsidRPr="00CE150B" w:rsidRDefault="00714EBE" w:rsidP="0033437D">
      <w:pPr>
        <w:spacing w:before="120" w:line="240" w:lineRule="exact"/>
        <w:jc w:val="both"/>
        <w:rPr>
          <w:rFonts w:ascii="Times" w:hAnsi="Times" w:cs="Times"/>
          <w:sz w:val="20"/>
        </w:rPr>
      </w:pPr>
      <w:r w:rsidRPr="00CE150B">
        <w:rPr>
          <w:rFonts w:ascii="Times" w:hAnsi="Times" w:cs="Times"/>
          <w:sz w:val="20"/>
        </w:rPr>
        <w:t xml:space="preserve">Al termine del corso gli studenti </w:t>
      </w:r>
      <w:r w:rsidR="00217944" w:rsidRPr="00CE150B">
        <w:rPr>
          <w:rFonts w:ascii="Times" w:hAnsi="Times" w:cs="Times"/>
          <w:sz w:val="20"/>
        </w:rPr>
        <w:t>avranno</w:t>
      </w:r>
      <w:r w:rsidRPr="00CE150B">
        <w:rPr>
          <w:rFonts w:ascii="Times" w:hAnsi="Times" w:cs="Times"/>
          <w:sz w:val="20"/>
        </w:rPr>
        <w:t xml:space="preserve">: </w:t>
      </w:r>
    </w:p>
    <w:p w14:paraId="18D09CA1" w14:textId="77777777" w:rsidR="002D4F83" w:rsidRPr="002D4F83" w:rsidRDefault="00714EBE" w:rsidP="002D4F83">
      <w:pPr>
        <w:pStyle w:val="Paragrafoelenco"/>
        <w:numPr>
          <w:ilvl w:val="0"/>
          <w:numId w:val="9"/>
        </w:numPr>
        <w:spacing w:line="240" w:lineRule="exact"/>
        <w:jc w:val="both"/>
        <w:rPr>
          <w:rFonts w:ascii="Times" w:hAnsi="Times" w:cs="Times"/>
          <w:sz w:val="20"/>
        </w:rPr>
      </w:pPr>
      <w:r w:rsidRPr="002D4F83">
        <w:rPr>
          <w:rFonts w:ascii="Times" w:hAnsi="Times" w:cs="Times"/>
          <w:sz w:val="20"/>
        </w:rPr>
        <w:t>acquisi</w:t>
      </w:r>
      <w:r w:rsidR="00217944">
        <w:rPr>
          <w:rFonts w:ascii="Times" w:hAnsi="Times" w:cs="Times"/>
          <w:sz w:val="20"/>
        </w:rPr>
        <w:t>to</w:t>
      </w:r>
      <w:r w:rsidRPr="002D4F83">
        <w:rPr>
          <w:rFonts w:ascii="Times" w:hAnsi="Times" w:cs="Times"/>
          <w:sz w:val="20"/>
        </w:rPr>
        <w:t xml:space="preserve"> i principi fondamentali e il linguaggio tipico dell’Eco</w:t>
      </w:r>
      <w:r w:rsidR="002D4F83" w:rsidRPr="002D4F83">
        <w:rPr>
          <w:rFonts w:ascii="Times" w:hAnsi="Times" w:cs="Times"/>
          <w:sz w:val="20"/>
        </w:rPr>
        <w:t>nomia aziendale</w:t>
      </w:r>
      <w:r w:rsidR="002D4F83">
        <w:rPr>
          <w:rFonts w:ascii="Times" w:hAnsi="Times" w:cs="Times"/>
          <w:sz w:val="20"/>
        </w:rPr>
        <w:t>;</w:t>
      </w:r>
    </w:p>
    <w:p w14:paraId="16158669" w14:textId="77777777" w:rsidR="00714EBE" w:rsidRPr="002D4F83" w:rsidRDefault="002D4F83" w:rsidP="002D4F83">
      <w:pPr>
        <w:pStyle w:val="Paragrafoelenco"/>
        <w:numPr>
          <w:ilvl w:val="0"/>
          <w:numId w:val="9"/>
        </w:numPr>
        <w:spacing w:line="240" w:lineRule="exact"/>
        <w:jc w:val="both"/>
        <w:rPr>
          <w:rFonts w:ascii="Times" w:hAnsi="Times" w:cs="Times"/>
          <w:sz w:val="20"/>
        </w:rPr>
      </w:pPr>
      <w:r w:rsidRPr="002D4F83">
        <w:rPr>
          <w:rFonts w:ascii="Times" w:hAnsi="Times" w:cs="Times"/>
          <w:sz w:val="20"/>
        </w:rPr>
        <w:t>assu</w:t>
      </w:r>
      <w:r w:rsidR="00217944">
        <w:rPr>
          <w:rFonts w:ascii="Times" w:hAnsi="Times" w:cs="Times"/>
          <w:sz w:val="20"/>
        </w:rPr>
        <w:t>nto</w:t>
      </w:r>
      <w:r w:rsidR="00714EBE" w:rsidRPr="002D4F83">
        <w:rPr>
          <w:rFonts w:ascii="Times" w:hAnsi="Times" w:cs="Times"/>
          <w:sz w:val="20"/>
        </w:rPr>
        <w:t xml:space="preserve"> una prospettiva di analisi che privilegi le relazioni di interdipendenza tra il sistema delle ope</w:t>
      </w:r>
      <w:r>
        <w:rPr>
          <w:rFonts w:ascii="Times" w:hAnsi="Times" w:cs="Times"/>
          <w:sz w:val="20"/>
        </w:rPr>
        <w:t>razioni e il sistema dei valori;</w:t>
      </w:r>
    </w:p>
    <w:p w14:paraId="52D22D48" w14:textId="77777777" w:rsidR="00714EBE" w:rsidRPr="002D4F83" w:rsidRDefault="00714EBE" w:rsidP="002D4F83">
      <w:pPr>
        <w:pStyle w:val="Paragrafoelenco"/>
        <w:numPr>
          <w:ilvl w:val="0"/>
          <w:numId w:val="9"/>
        </w:numPr>
        <w:spacing w:line="240" w:lineRule="exact"/>
        <w:jc w:val="both"/>
        <w:rPr>
          <w:rFonts w:ascii="Times" w:hAnsi="Times" w:cs="Times"/>
          <w:sz w:val="20"/>
        </w:rPr>
      </w:pPr>
      <w:r w:rsidRPr="002D4F83">
        <w:rPr>
          <w:rFonts w:ascii="Times" w:hAnsi="Times" w:cs="Times"/>
          <w:sz w:val="20"/>
        </w:rPr>
        <w:t>acquisi</w:t>
      </w:r>
      <w:r w:rsidR="00217944">
        <w:rPr>
          <w:rFonts w:ascii="Times" w:hAnsi="Times" w:cs="Times"/>
          <w:sz w:val="20"/>
        </w:rPr>
        <w:t>to</w:t>
      </w:r>
      <w:r w:rsidRPr="002D4F83">
        <w:rPr>
          <w:rFonts w:ascii="Times" w:hAnsi="Times" w:cs="Times"/>
          <w:sz w:val="20"/>
        </w:rPr>
        <w:t xml:space="preserve"> la padronanza della logica delle rilevazioni contabili e </w:t>
      </w:r>
      <w:r w:rsidR="002D4F83">
        <w:rPr>
          <w:rFonts w:ascii="Times" w:hAnsi="Times" w:cs="Times"/>
          <w:sz w:val="20"/>
        </w:rPr>
        <w:t>del metodo della partita doppia;</w:t>
      </w:r>
    </w:p>
    <w:p w14:paraId="641FF367" w14:textId="77777777" w:rsidR="002D4F83" w:rsidRPr="002D4F83" w:rsidRDefault="00217944" w:rsidP="002D4F83">
      <w:pPr>
        <w:pStyle w:val="Paragrafoelenco"/>
        <w:numPr>
          <w:ilvl w:val="0"/>
          <w:numId w:val="9"/>
        </w:numPr>
        <w:spacing w:line="240" w:lineRule="exact"/>
        <w:jc w:val="both"/>
        <w:rPr>
          <w:rFonts w:ascii="Times" w:hAnsi="Times" w:cs="Times"/>
          <w:sz w:val="20"/>
        </w:rPr>
      </w:pPr>
      <w:r>
        <w:rPr>
          <w:rFonts w:ascii="Times" w:hAnsi="Times" w:cs="Times"/>
          <w:sz w:val="20"/>
        </w:rPr>
        <w:t>sviluppato capacità di</w:t>
      </w:r>
      <w:r w:rsidR="002D4F83" w:rsidRPr="002D4F83">
        <w:rPr>
          <w:rFonts w:ascii="Times" w:hAnsi="Times" w:cs="Times"/>
          <w:sz w:val="20"/>
        </w:rPr>
        <w:t xml:space="preserve"> comunicare in modo chiaro e con un linguaggio tecnico le conoscenze acquisite e le valutazioni effettuate</w:t>
      </w:r>
      <w:r w:rsidR="002D4F83">
        <w:rPr>
          <w:rFonts w:ascii="Times" w:hAnsi="Times" w:cs="Times"/>
          <w:sz w:val="20"/>
        </w:rPr>
        <w:t>;</w:t>
      </w:r>
    </w:p>
    <w:p w14:paraId="38C9A4DD" w14:textId="77777777" w:rsidR="002D4F83" w:rsidRPr="002D4F83" w:rsidRDefault="002D4F83" w:rsidP="002D4F83">
      <w:pPr>
        <w:pStyle w:val="Paragrafoelenco"/>
        <w:numPr>
          <w:ilvl w:val="0"/>
          <w:numId w:val="9"/>
        </w:numPr>
        <w:spacing w:line="240" w:lineRule="exact"/>
        <w:jc w:val="both"/>
        <w:rPr>
          <w:rFonts w:ascii="Times" w:hAnsi="Times" w:cs="Times"/>
          <w:sz w:val="20"/>
        </w:rPr>
      </w:pPr>
      <w:r w:rsidRPr="002D4F83">
        <w:rPr>
          <w:rFonts w:ascii="Times" w:hAnsi="Times" w:cs="Times"/>
          <w:sz w:val="20"/>
        </w:rPr>
        <w:t>sviluppato capacità di apprendimento che consenta di affrontare lo studio futuro</w:t>
      </w:r>
      <w:r>
        <w:rPr>
          <w:rFonts w:ascii="Times" w:hAnsi="Times" w:cs="Times"/>
          <w:sz w:val="20"/>
        </w:rPr>
        <w:t>,</w:t>
      </w:r>
      <w:r w:rsidRPr="002D4F83">
        <w:rPr>
          <w:rFonts w:ascii="Times" w:hAnsi="Times" w:cs="Times"/>
          <w:sz w:val="20"/>
        </w:rPr>
        <w:t xml:space="preserve"> in particolare delle materie economico-aziendali.</w:t>
      </w:r>
    </w:p>
    <w:p w14:paraId="2AC68216" w14:textId="2635C19C" w:rsidR="00714EBE" w:rsidRPr="00C5062F" w:rsidRDefault="00714EBE" w:rsidP="0033437D">
      <w:pPr>
        <w:spacing w:before="240" w:after="120" w:line="240" w:lineRule="exact"/>
        <w:jc w:val="both"/>
        <w:rPr>
          <w:b/>
          <w:color w:val="FF0000"/>
          <w:sz w:val="18"/>
        </w:rPr>
      </w:pPr>
      <w:r>
        <w:rPr>
          <w:b/>
          <w:i/>
          <w:sz w:val="18"/>
        </w:rPr>
        <w:t xml:space="preserve">PROGRAMMA DEL </w:t>
      </w:r>
      <w:r w:rsidR="002013EB">
        <w:rPr>
          <w:b/>
          <w:i/>
          <w:sz w:val="18"/>
        </w:rPr>
        <w:t>CORSO</w:t>
      </w:r>
    </w:p>
    <w:p w14:paraId="1C794AA1" w14:textId="5F7E178A" w:rsidR="00714EBE" w:rsidRDefault="00714EBE" w:rsidP="0033437D">
      <w:pPr>
        <w:spacing w:line="240" w:lineRule="exact"/>
        <w:jc w:val="both"/>
        <w:rPr>
          <w:smallCaps/>
          <w:sz w:val="18"/>
          <w:szCs w:val="20"/>
        </w:rPr>
      </w:pPr>
      <w:r w:rsidRPr="0033437D">
        <w:rPr>
          <w:smallCaps/>
          <w:sz w:val="18"/>
          <w:szCs w:val="20"/>
        </w:rPr>
        <w:t xml:space="preserve">Primo semestre </w:t>
      </w:r>
    </w:p>
    <w:p w14:paraId="1CFD9DF4" w14:textId="78797C4E" w:rsidR="002013EB" w:rsidRDefault="002013EB" w:rsidP="0033437D">
      <w:pPr>
        <w:spacing w:line="240" w:lineRule="exact"/>
        <w:jc w:val="both"/>
        <w:rPr>
          <w:sz w:val="18"/>
          <w:szCs w:val="20"/>
        </w:rPr>
      </w:pPr>
      <w:r>
        <w:rPr>
          <w:sz w:val="18"/>
          <w:szCs w:val="20"/>
        </w:rPr>
        <w:t xml:space="preserve">Il primo semestre affronterà 4 nuclei tematici: </w:t>
      </w:r>
    </w:p>
    <w:p w14:paraId="110C32D2" w14:textId="084F2654" w:rsidR="00714EBE" w:rsidRPr="002013EB" w:rsidRDefault="00714EBE" w:rsidP="002013EB">
      <w:pPr>
        <w:pStyle w:val="Paragrafoelenco"/>
        <w:numPr>
          <w:ilvl w:val="0"/>
          <w:numId w:val="16"/>
        </w:numPr>
        <w:spacing w:line="240" w:lineRule="exact"/>
        <w:jc w:val="both"/>
        <w:rPr>
          <w:rFonts w:ascii="Times" w:hAnsi="Times" w:cs="Times"/>
          <w:sz w:val="20"/>
        </w:rPr>
      </w:pPr>
      <w:r w:rsidRPr="002013EB">
        <w:rPr>
          <w:i/>
          <w:sz w:val="20"/>
          <w:szCs w:val="20"/>
        </w:rPr>
        <w:t>Natura, finalità e struttura delle aziende</w:t>
      </w:r>
      <w:r w:rsidR="002013EB" w:rsidRPr="002013EB">
        <w:rPr>
          <w:i/>
          <w:sz w:val="20"/>
          <w:szCs w:val="20"/>
        </w:rPr>
        <w:t xml:space="preserve">: </w:t>
      </w:r>
      <w:r w:rsidRPr="002013EB">
        <w:rPr>
          <w:rFonts w:ascii="Times" w:hAnsi="Times" w:cs="Times"/>
          <w:sz w:val="20"/>
        </w:rPr>
        <w:t>Le persone, l’attività economica, l’economia aziendale</w:t>
      </w:r>
      <w:r w:rsidR="002013EB" w:rsidRPr="002013EB">
        <w:rPr>
          <w:rFonts w:ascii="Times" w:hAnsi="Times" w:cs="Times"/>
          <w:sz w:val="20"/>
        </w:rPr>
        <w:t xml:space="preserve">; </w:t>
      </w:r>
      <w:r w:rsidRPr="002013EB">
        <w:rPr>
          <w:rFonts w:ascii="Times" w:hAnsi="Times" w:cs="Times"/>
          <w:sz w:val="20"/>
        </w:rPr>
        <w:t>La specializzazione economica. Gli istituti, le aziende</w:t>
      </w:r>
      <w:r w:rsidR="002013EB" w:rsidRPr="002013EB">
        <w:rPr>
          <w:rFonts w:ascii="Times" w:hAnsi="Times" w:cs="Times"/>
          <w:sz w:val="20"/>
        </w:rPr>
        <w:t xml:space="preserve">; </w:t>
      </w:r>
      <w:r w:rsidRPr="002013EB">
        <w:rPr>
          <w:rFonts w:ascii="Times" w:hAnsi="Times" w:cs="Times"/>
          <w:sz w:val="20"/>
        </w:rPr>
        <w:t>La varietà delle aziende</w:t>
      </w:r>
      <w:r w:rsidR="002013EB" w:rsidRPr="002013EB">
        <w:rPr>
          <w:rFonts w:ascii="Times" w:hAnsi="Times" w:cs="Times"/>
          <w:sz w:val="20"/>
        </w:rPr>
        <w:t xml:space="preserve">; </w:t>
      </w:r>
      <w:r w:rsidRPr="002013EB">
        <w:rPr>
          <w:rFonts w:ascii="Times" w:hAnsi="Times" w:cs="Times"/>
          <w:sz w:val="20"/>
        </w:rPr>
        <w:t>Modelli di riferimento per l’analisi dell’azienda</w:t>
      </w:r>
      <w:r w:rsidR="002013EB" w:rsidRPr="002013EB">
        <w:rPr>
          <w:rFonts w:ascii="Times" w:hAnsi="Times" w:cs="Times"/>
          <w:sz w:val="20"/>
        </w:rPr>
        <w:t xml:space="preserve">; </w:t>
      </w:r>
      <w:r w:rsidRPr="002013EB">
        <w:rPr>
          <w:rFonts w:ascii="Times" w:hAnsi="Times" w:cs="Times"/>
          <w:sz w:val="20"/>
        </w:rPr>
        <w:t>Gli assetti istituzionali</w:t>
      </w:r>
      <w:r w:rsidR="002013EB" w:rsidRPr="002013EB">
        <w:rPr>
          <w:rFonts w:ascii="Times" w:hAnsi="Times" w:cs="Times"/>
          <w:sz w:val="20"/>
        </w:rPr>
        <w:t xml:space="preserve">; </w:t>
      </w:r>
      <w:r w:rsidRPr="002013EB">
        <w:rPr>
          <w:rFonts w:ascii="Times" w:hAnsi="Times" w:cs="Times"/>
          <w:sz w:val="20"/>
        </w:rPr>
        <w:t>Modelli di assetti proprietari e di governo</w:t>
      </w:r>
      <w:r w:rsidR="002013EB" w:rsidRPr="002013EB">
        <w:rPr>
          <w:rFonts w:ascii="Times" w:hAnsi="Times" w:cs="Times"/>
          <w:sz w:val="20"/>
        </w:rPr>
        <w:t xml:space="preserve">; </w:t>
      </w:r>
      <w:r w:rsidRPr="002013EB">
        <w:rPr>
          <w:rFonts w:ascii="Times" w:hAnsi="Times" w:cs="Times"/>
          <w:sz w:val="20"/>
        </w:rPr>
        <w:t>Le finalità delle imprese</w:t>
      </w:r>
      <w:r w:rsidR="002013EB" w:rsidRPr="002013EB">
        <w:rPr>
          <w:rFonts w:ascii="Times" w:hAnsi="Times" w:cs="Times"/>
          <w:sz w:val="20"/>
        </w:rPr>
        <w:t xml:space="preserve">; </w:t>
      </w:r>
      <w:r w:rsidRPr="002013EB">
        <w:rPr>
          <w:rFonts w:ascii="Times" w:hAnsi="Times" w:cs="Times"/>
          <w:sz w:val="20"/>
        </w:rPr>
        <w:t>L’articolazione delle combinazioni economiche</w:t>
      </w:r>
      <w:r w:rsidR="002013EB">
        <w:rPr>
          <w:rFonts w:ascii="Times" w:hAnsi="Times" w:cs="Times"/>
          <w:sz w:val="20"/>
        </w:rPr>
        <w:t xml:space="preserve">; </w:t>
      </w:r>
      <w:r w:rsidRPr="002013EB">
        <w:rPr>
          <w:rFonts w:ascii="Times" w:hAnsi="Times" w:cs="Times"/>
          <w:sz w:val="20"/>
        </w:rPr>
        <w:t>Le condizioni di produzione: l’organismo person</w:t>
      </w:r>
      <w:r w:rsidR="002013EB">
        <w:rPr>
          <w:rFonts w:ascii="Times" w:hAnsi="Times" w:cs="Times"/>
          <w:sz w:val="20"/>
        </w:rPr>
        <w:t>ale,</w:t>
      </w:r>
      <w:r w:rsidRPr="002013EB">
        <w:rPr>
          <w:rFonts w:ascii="Times" w:hAnsi="Times" w:cs="Times"/>
          <w:sz w:val="20"/>
        </w:rPr>
        <w:t xml:space="preserve"> il patrimonio.</w:t>
      </w:r>
    </w:p>
    <w:p w14:paraId="23651239" w14:textId="3BAA2837" w:rsidR="00714EBE" w:rsidRPr="002013EB" w:rsidRDefault="00714EBE" w:rsidP="002013EB">
      <w:pPr>
        <w:pStyle w:val="Paragrafoelenco"/>
        <w:numPr>
          <w:ilvl w:val="0"/>
          <w:numId w:val="16"/>
        </w:numPr>
        <w:spacing w:line="240" w:lineRule="exact"/>
        <w:rPr>
          <w:i/>
          <w:sz w:val="20"/>
          <w:szCs w:val="20"/>
        </w:rPr>
      </w:pPr>
      <w:r w:rsidRPr="002013EB">
        <w:rPr>
          <w:i/>
          <w:sz w:val="20"/>
          <w:szCs w:val="20"/>
        </w:rPr>
        <w:t>Gestione strategica e gestione operativa</w:t>
      </w:r>
      <w:r w:rsidR="002013EB">
        <w:rPr>
          <w:i/>
          <w:sz w:val="20"/>
          <w:szCs w:val="20"/>
        </w:rPr>
        <w:t xml:space="preserve">; </w:t>
      </w:r>
      <w:r w:rsidRPr="002013EB">
        <w:rPr>
          <w:sz w:val="20"/>
          <w:szCs w:val="20"/>
        </w:rPr>
        <w:t>L'ambiente, il mercato, il settore, il sistema competitivo</w:t>
      </w:r>
      <w:r w:rsidR="002013EB">
        <w:rPr>
          <w:sz w:val="20"/>
          <w:szCs w:val="20"/>
        </w:rPr>
        <w:t xml:space="preserve">; </w:t>
      </w:r>
      <w:r w:rsidRPr="002013EB">
        <w:rPr>
          <w:sz w:val="20"/>
          <w:szCs w:val="20"/>
        </w:rPr>
        <w:t>Il sistema di prodotto, la formula competitiva, i fattori critici di successo</w:t>
      </w:r>
      <w:r w:rsidR="002013EB">
        <w:rPr>
          <w:sz w:val="20"/>
          <w:szCs w:val="20"/>
        </w:rPr>
        <w:t xml:space="preserve">; </w:t>
      </w:r>
      <w:r w:rsidRPr="002013EB">
        <w:rPr>
          <w:sz w:val="20"/>
          <w:szCs w:val="20"/>
        </w:rPr>
        <w:t>Il vantaggio competitivo, la scelta dei segmenti di mercato, le strategie competitive di base</w:t>
      </w:r>
      <w:r w:rsidR="002013EB">
        <w:rPr>
          <w:sz w:val="20"/>
          <w:szCs w:val="20"/>
        </w:rPr>
        <w:t xml:space="preserve">; </w:t>
      </w:r>
      <w:r w:rsidRPr="002013EB">
        <w:rPr>
          <w:sz w:val="20"/>
          <w:szCs w:val="20"/>
        </w:rPr>
        <w:t xml:space="preserve">La capacità produttiva, le economie di scala, di apprendimento e di saturazione della </w:t>
      </w:r>
      <w:r w:rsidRPr="002013EB">
        <w:rPr>
          <w:sz w:val="20"/>
          <w:szCs w:val="20"/>
        </w:rPr>
        <w:lastRenderedPageBreak/>
        <w:t>capacità</w:t>
      </w:r>
      <w:r w:rsidR="002013EB">
        <w:rPr>
          <w:sz w:val="20"/>
          <w:szCs w:val="20"/>
        </w:rPr>
        <w:t xml:space="preserve">; </w:t>
      </w:r>
      <w:r w:rsidRPr="002013EB">
        <w:rPr>
          <w:sz w:val="20"/>
          <w:szCs w:val="20"/>
        </w:rPr>
        <w:t>Le scelte di estensione verticale e orizzontale</w:t>
      </w:r>
      <w:r w:rsidR="002013EB">
        <w:rPr>
          <w:sz w:val="20"/>
          <w:szCs w:val="20"/>
        </w:rPr>
        <w:t xml:space="preserve">, </w:t>
      </w:r>
      <w:r w:rsidRPr="002013EB">
        <w:rPr>
          <w:sz w:val="20"/>
          <w:szCs w:val="20"/>
        </w:rPr>
        <w:t>L'organizzazione economica. Gli aggregati di aziende.</w:t>
      </w:r>
    </w:p>
    <w:p w14:paraId="53767D12" w14:textId="4FEEB297" w:rsidR="00714EBE" w:rsidRPr="002013EB" w:rsidRDefault="00714EBE" w:rsidP="002013EB">
      <w:pPr>
        <w:pStyle w:val="Paragrafoelenco"/>
        <w:numPr>
          <w:ilvl w:val="0"/>
          <w:numId w:val="16"/>
        </w:numPr>
        <w:spacing w:line="240" w:lineRule="exact"/>
        <w:rPr>
          <w:i/>
          <w:sz w:val="20"/>
          <w:szCs w:val="20"/>
        </w:rPr>
      </w:pPr>
      <w:r w:rsidRPr="002013EB">
        <w:rPr>
          <w:i/>
          <w:sz w:val="20"/>
          <w:szCs w:val="20"/>
        </w:rPr>
        <w:t>Organizzazione</w:t>
      </w:r>
      <w:r w:rsidR="002013EB">
        <w:rPr>
          <w:i/>
          <w:sz w:val="20"/>
          <w:szCs w:val="20"/>
        </w:rPr>
        <w:t xml:space="preserve">: </w:t>
      </w:r>
      <w:r w:rsidRPr="002013EB">
        <w:rPr>
          <w:sz w:val="20"/>
          <w:szCs w:val="20"/>
        </w:rPr>
        <w:t>L'assetto organizzativo. Le scelte di organizzazione. Le strutture organizzative di base. Le forme elementare, funzionale, divisionale, matriciale e mista</w:t>
      </w:r>
      <w:r w:rsidR="002013EB">
        <w:rPr>
          <w:sz w:val="20"/>
          <w:szCs w:val="20"/>
        </w:rPr>
        <w:t xml:space="preserve">; </w:t>
      </w:r>
      <w:r w:rsidRPr="002013EB">
        <w:rPr>
          <w:sz w:val="20"/>
          <w:szCs w:val="20"/>
        </w:rPr>
        <w:t>I sistemi operativi. I sistemi di pianificazione, programmazione e informazione. I sistemi di gestione del personale.</w:t>
      </w:r>
    </w:p>
    <w:p w14:paraId="54C2C628" w14:textId="1D95085F" w:rsidR="00714EBE" w:rsidRPr="002013EB" w:rsidRDefault="00714EBE" w:rsidP="002013EB">
      <w:pPr>
        <w:pStyle w:val="Paragrafoelenco"/>
        <w:numPr>
          <w:ilvl w:val="0"/>
          <w:numId w:val="16"/>
        </w:numPr>
        <w:spacing w:line="240" w:lineRule="exact"/>
        <w:rPr>
          <w:i/>
          <w:sz w:val="20"/>
          <w:szCs w:val="20"/>
        </w:rPr>
      </w:pPr>
      <w:r w:rsidRPr="002013EB">
        <w:rPr>
          <w:i/>
          <w:sz w:val="20"/>
          <w:szCs w:val="20"/>
        </w:rPr>
        <w:t>Rilevazione</w:t>
      </w:r>
      <w:r w:rsidR="002013EB">
        <w:rPr>
          <w:i/>
          <w:sz w:val="20"/>
          <w:szCs w:val="20"/>
        </w:rPr>
        <w:t xml:space="preserve">: </w:t>
      </w:r>
      <w:r w:rsidRPr="002013EB">
        <w:rPr>
          <w:sz w:val="20"/>
          <w:szCs w:val="20"/>
        </w:rPr>
        <w:t xml:space="preserve">L'economicità. L'equilibrio istituzionale e l'equilibrio economico. </w:t>
      </w:r>
    </w:p>
    <w:p w14:paraId="4F38BF2D" w14:textId="029A9C2D" w:rsidR="00714EBE" w:rsidRDefault="00714EBE" w:rsidP="0033437D">
      <w:pPr>
        <w:spacing w:before="120" w:line="240" w:lineRule="exact"/>
        <w:jc w:val="both"/>
        <w:rPr>
          <w:smallCaps/>
          <w:sz w:val="18"/>
          <w:szCs w:val="20"/>
        </w:rPr>
      </w:pPr>
      <w:r w:rsidRPr="0033437D">
        <w:rPr>
          <w:smallCaps/>
          <w:sz w:val="18"/>
          <w:szCs w:val="20"/>
        </w:rPr>
        <w:t>Secondo semestre</w:t>
      </w:r>
    </w:p>
    <w:p w14:paraId="739F9C89" w14:textId="6AAA3663" w:rsidR="00C5062F" w:rsidRPr="002013EB" w:rsidRDefault="00C5062F" w:rsidP="0033437D">
      <w:pPr>
        <w:spacing w:before="120" w:line="240" w:lineRule="exact"/>
        <w:jc w:val="both"/>
        <w:rPr>
          <w:smallCaps/>
          <w:sz w:val="20"/>
          <w:szCs w:val="20"/>
        </w:rPr>
      </w:pPr>
      <w:r w:rsidRPr="002013EB">
        <w:rPr>
          <w:rFonts w:eastAsia="Calibri"/>
          <w:sz w:val="20"/>
          <w:szCs w:val="20"/>
          <w:lang w:eastAsia="en-US"/>
        </w:rPr>
        <w:t>Il secondo semestre affronterà due nuclei tematici:</w:t>
      </w:r>
    </w:p>
    <w:p w14:paraId="6B5AD998" w14:textId="459E6503" w:rsidR="00C5062F" w:rsidRPr="002013EB" w:rsidRDefault="00C5062F" w:rsidP="00C5062F">
      <w:pPr>
        <w:ind w:left="284" w:hanging="284"/>
        <w:rPr>
          <w:rFonts w:eastAsia="Calibri"/>
          <w:sz w:val="20"/>
          <w:szCs w:val="20"/>
          <w:lang w:eastAsia="en-US"/>
        </w:rPr>
      </w:pPr>
      <w:r w:rsidRPr="002013EB">
        <w:rPr>
          <w:rFonts w:eastAsia="Calibri"/>
          <w:sz w:val="20"/>
          <w:szCs w:val="20"/>
          <w:lang w:eastAsia="en-US"/>
        </w:rPr>
        <w:t>–</w:t>
      </w:r>
      <w:r w:rsidRPr="002013EB">
        <w:rPr>
          <w:rFonts w:eastAsia="Calibri"/>
          <w:sz w:val="20"/>
          <w:szCs w:val="20"/>
          <w:lang w:eastAsia="en-US"/>
        </w:rPr>
        <w:tab/>
        <w:t>i presupposti per la definizione dei valori - prime definizioni di reddito, patrimonio e capitale di funzionamento con l’approfondimento delle opzioni di metodo impiegate nel calcolo economico e nella costruzione delle tavole di sintesi, nella riclassificazione e nel calcolo degli indici;</w:t>
      </w:r>
    </w:p>
    <w:p w14:paraId="43FC27A9" w14:textId="6E3D23FF" w:rsidR="00C5062F" w:rsidRPr="00BA2DD5" w:rsidRDefault="00C5062F" w:rsidP="00BA2DD5">
      <w:pPr>
        <w:ind w:left="284" w:hanging="284"/>
        <w:rPr>
          <w:rFonts w:eastAsia="Calibri"/>
          <w:sz w:val="20"/>
          <w:szCs w:val="20"/>
          <w:lang w:eastAsia="en-US"/>
        </w:rPr>
      </w:pPr>
      <w:r w:rsidRPr="002013EB">
        <w:rPr>
          <w:rFonts w:eastAsia="Calibri"/>
          <w:sz w:val="20"/>
          <w:szCs w:val="20"/>
          <w:lang w:eastAsia="en-US"/>
        </w:rPr>
        <w:t>–</w:t>
      </w:r>
      <w:r w:rsidRPr="002013EB">
        <w:rPr>
          <w:rFonts w:eastAsia="Calibri"/>
          <w:sz w:val="20"/>
          <w:szCs w:val="20"/>
          <w:lang w:eastAsia="en-US"/>
        </w:rPr>
        <w:tab/>
        <w:t>le scelte di strutture di costi e analisi del punto di pareggio</w:t>
      </w:r>
    </w:p>
    <w:p w14:paraId="7C623BDF" w14:textId="77777777" w:rsidR="00C5062F" w:rsidRPr="002013EB" w:rsidRDefault="00C5062F" w:rsidP="00C5062F">
      <w:pPr>
        <w:spacing w:before="120"/>
        <w:rPr>
          <w:rFonts w:eastAsia="Calibri"/>
          <w:noProof/>
          <w:sz w:val="20"/>
          <w:szCs w:val="20"/>
          <w:lang w:eastAsia="en-US"/>
        </w:rPr>
      </w:pPr>
      <w:r w:rsidRPr="002013EB">
        <w:rPr>
          <w:rFonts w:eastAsia="Calibri"/>
          <w:sz w:val="20"/>
          <w:szCs w:val="20"/>
          <w:lang w:eastAsia="en-US"/>
        </w:rPr>
        <w:t>Un ciclo di esercitazioni sarà dedicato a favorire l’apprendimento della logica delle rilevazioni contabili introducendo il metodo della partita doppia.</w:t>
      </w:r>
    </w:p>
    <w:p w14:paraId="3D2747DB" w14:textId="62A9399D" w:rsidR="00C5062F" w:rsidRPr="00BA2DD5" w:rsidRDefault="0041286D" w:rsidP="00BA2DD5">
      <w:pPr>
        <w:spacing w:line="240" w:lineRule="exact"/>
        <w:rPr>
          <w:sz w:val="20"/>
          <w:szCs w:val="20"/>
        </w:rPr>
      </w:pPr>
      <w:r w:rsidRPr="002013EB">
        <w:rPr>
          <w:sz w:val="20"/>
          <w:szCs w:val="20"/>
        </w:rPr>
        <w:t>La didattica relativa al bilancio e alle rilevazioni contabili è destinata a trovare completamento nell’ambito dell’insegnamento di “Metodologie e determinazioni quantitative di azienda”, impartito al secondo anno di corso e finalizzato a trasmettere le nozioni di base per la lettura, la redazione e l’interpretazione del bilancio di esercizio.</w:t>
      </w:r>
    </w:p>
    <w:p w14:paraId="0BE240D6" w14:textId="21D57351" w:rsidR="00714EBE" w:rsidRPr="0033437D" w:rsidRDefault="00714EBE" w:rsidP="0033437D">
      <w:pPr>
        <w:spacing w:before="240" w:after="120" w:line="220" w:lineRule="exact"/>
        <w:jc w:val="both"/>
        <w:rPr>
          <w:b/>
          <w:i/>
          <w:sz w:val="18"/>
        </w:rPr>
      </w:pPr>
      <w:r>
        <w:rPr>
          <w:b/>
          <w:i/>
          <w:sz w:val="18"/>
        </w:rPr>
        <w:t>BIBLIOGRAFIA</w:t>
      </w:r>
      <w:r w:rsidR="009F719A">
        <w:rPr>
          <w:rStyle w:val="Rimandonotaapidipagina"/>
          <w:b/>
          <w:i/>
          <w:sz w:val="18"/>
        </w:rPr>
        <w:footnoteReference w:id="1"/>
      </w:r>
    </w:p>
    <w:p w14:paraId="01DE1897" w14:textId="38ADBC9B" w:rsidR="00714EBE" w:rsidRPr="00AB28C6" w:rsidRDefault="00714EBE" w:rsidP="00714EBE">
      <w:pPr>
        <w:pStyle w:val="Testo1"/>
        <w:spacing w:before="0" w:line="240" w:lineRule="atLeast"/>
        <w:rPr>
          <w:spacing w:val="-5"/>
        </w:rPr>
      </w:pPr>
      <w:r w:rsidRPr="00714EBE">
        <w:rPr>
          <w:smallCaps/>
          <w:spacing w:val="-5"/>
          <w:sz w:val="16"/>
        </w:rPr>
        <w:t>G. Airoldi-G. Brunetti-V. Coda,</w:t>
      </w:r>
      <w:r w:rsidRPr="00714EBE">
        <w:rPr>
          <w:i/>
          <w:spacing w:val="-5"/>
        </w:rPr>
        <w:t xml:space="preserve"> Corso di economia aziendale,</w:t>
      </w:r>
      <w:r w:rsidRPr="00714EBE">
        <w:rPr>
          <w:spacing w:val="-5"/>
        </w:rPr>
        <w:t xml:space="preserve"> Il Mulino, Bologna, 2005.</w:t>
      </w:r>
      <w:r w:rsidR="00A81C01">
        <w:rPr>
          <w:spacing w:val="-5"/>
        </w:rPr>
        <w:t xml:space="preserve"> </w:t>
      </w:r>
      <w:r w:rsidR="009F719A">
        <w:rPr>
          <w:spacing w:val="-5"/>
        </w:rPr>
        <w:t xml:space="preserve"> </w:t>
      </w:r>
      <w:hyperlink r:id="rId9" w:history="1">
        <w:r w:rsidR="009F719A" w:rsidRPr="009F719A">
          <w:rPr>
            <w:rStyle w:val="Collegamentoipertestuale"/>
            <w:rFonts w:ascii="Times New Roman" w:hAnsi="Times New Roman"/>
            <w:i/>
            <w:sz w:val="16"/>
            <w:szCs w:val="16"/>
          </w:rPr>
          <w:t>Acquista da VP</w:t>
        </w:r>
      </w:hyperlink>
    </w:p>
    <w:p w14:paraId="2665BA10" w14:textId="6116B605" w:rsidR="00C5062F" w:rsidRDefault="00C5062F" w:rsidP="00C5062F">
      <w:pPr>
        <w:pStyle w:val="Testo1"/>
        <w:spacing w:before="0"/>
      </w:pPr>
      <w:r>
        <w:rPr>
          <w:smallCaps/>
          <w:sz w:val="16"/>
        </w:rPr>
        <w:t>A. Cerri – M. Daniele</w:t>
      </w:r>
      <w:r w:rsidRPr="00F13009">
        <w:rPr>
          <w:smallCaps/>
          <w:sz w:val="16"/>
        </w:rPr>
        <w:t>,</w:t>
      </w:r>
      <w:r w:rsidRPr="00F13009">
        <w:rPr>
          <w:i/>
        </w:rPr>
        <w:t xml:space="preserve"> </w:t>
      </w:r>
      <w:r>
        <w:rPr>
          <w:i/>
        </w:rPr>
        <w:t>Appunti di c</w:t>
      </w:r>
      <w:r w:rsidRPr="00F13009">
        <w:rPr>
          <w:i/>
        </w:rPr>
        <w:t>ontabilità e bilancio,</w:t>
      </w:r>
      <w:r w:rsidRPr="00F13009">
        <w:t xml:space="preserve"> </w:t>
      </w:r>
      <w:r>
        <w:t>E</w:t>
      </w:r>
      <w:r w:rsidR="00FD5F3B">
        <w:t>DUCatt</w:t>
      </w:r>
      <w:r>
        <w:t xml:space="preserve">, Milano, 2020 </w:t>
      </w:r>
      <w:r w:rsidR="009F719A">
        <w:t xml:space="preserve"> </w:t>
      </w:r>
      <w:hyperlink r:id="rId10" w:history="1">
        <w:r w:rsidR="009F719A" w:rsidRPr="009F719A">
          <w:rPr>
            <w:rStyle w:val="Collegamentoipertestuale"/>
            <w:rFonts w:ascii="Times New Roman" w:hAnsi="Times New Roman"/>
            <w:i/>
            <w:sz w:val="16"/>
            <w:szCs w:val="16"/>
          </w:rPr>
          <w:t>Acquista da VP</w:t>
        </w:r>
      </w:hyperlink>
      <w:bookmarkStart w:id="0" w:name="_GoBack"/>
      <w:bookmarkEnd w:id="0"/>
    </w:p>
    <w:p w14:paraId="0DE2EA96" w14:textId="77777777" w:rsidR="00714EBE" w:rsidRDefault="00714EBE" w:rsidP="00714EBE">
      <w:pPr>
        <w:pStyle w:val="Testo1"/>
      </w:pPr>
      <w:r w:rsidRPr="00714EBE">
        <w:t xml:space="preserve">Ad integrazione dei supporti relativi alle diverse sessioni saranno disponibili </w:t>
      </w:r>
      <w:r>
        <w:t>su Blackboard slides e letture.</w:t>
      </w:r>
    </w:p>
    <w:p w14:paraId="554E2913" w14:textId="77777777" w:rsidR="00714EBE" w:rsidRDefault="00714EBE" w:rsidP="00714EBE">
      <w:pPr>
        <w:spacing w:before="240" w:after="120" w:line="220" w:lineRule="exact"/>
        <w:jc w:val="both"/>
        <w:rPr>
          <w:b/>
          <w:i/>
          <w:sz w:val="18"/>
        </w:rPr>
      </w:pPr>
      <w:r>
        <w:rPr>
          <w:b/>
          <w:i/>
          <w:sz w:val="18"/>
        </w:rPr>
        <w:t>DIDATTICA DEL CORSO</w:t>
      </w:r>
    </w:p>
    <w:p w14:paraId="328A9AAA" w14:textId="77777777" w:rsidR="00714EBE" w:rsidRPr="00785214" w:rsidRDefault="00714EBE" w:rsidP="00714EBE">
      <w:pPr>
        <w:pStyle w:val="Testo2"/>
      </w:pPr>
      <w:r w:rsidRPr="00B23F7F">
        <w:t>Lezioni ed esercitazioni in aula.</w:t>
      </w:r>
    </w:p>
    <w:p w14:paraId="1AC75A6D" w14:textId="10A6E943" w:rsidR="003B49E0" w:rsidRDefault="00714EBE" w:rsidP="00714EBE">
      <w:pPr>
        <w:spacing w:before="240" w:after="120" w:line="220" w:lineRule="exact"/>
        <w:jc w:val="both"/>
        <w:rPr>
          <w:b/>
          <w:i/>
          <w:sz w:val="18"/>
        </w:rPr>
      </w:pPr>
      <w:r>
        <w:rPr>
          <w:b/>
          <w:i/>
          <w:sz w:val="18"/>
        </w:rPr>
        <w:lastRenderedPageBreak/>
        <w:t>METODO E CRITERI DI VALUTAZIONE</w:t>
      </w:r>
    </w:p>
    <w:p w14:paraId="3596A2E4" w14:textId="77777777" w:rsidR="003B49E0" w:rsidRPr="00CE150B" w:rsidRDefault="003B49E0" w:rsidP="00CE150B">
      <w:pPr>
        <w:pStyle w:val="Testo2"/>
      </w:pPr>
      <w:r w:rsidRPr="00CE150B">
        <w:t>La valutazione si basa su una prova scritta costituita da domande aperte, chiuse ed esercizi volta a:</w:t>
      </w:r>
    </w:p>
    <w:p w14:paraId="6EF3DCA4" w14:textId="77777777" w:rsidR="003B49E0" w:rsidRPr="00CE150B" w:rsidRDefault="003B49E0" w:rsidP="00CE150B">
      <w:pPr>
        <w:pStyle w:val="Testo2"/>
        <w:numPr>
          <w:ilvl w:val="0"/>
          <w:numId w:val="11"/>
        </w:numPr>
        <w:ind w:left="0" w:firstLine="284"/>
        <w:rPr>
          <w:szCs w:val="18"/>
        </w:rPr>
      </w:pPr>
      <w:r w:rsidRPr="00CE150B">
        <w:rPr>
          <w:szCs w:val="18"/>
        </w:rPr>
        <w:t xml:space="preserve">accertare la conoscenza della logica delle rilevazioni contabili e del metodo della partita doppia (parte applicativa); </w:t>
      </w:r>
    </w:p>
    <w:p w14:paraId="55DA7529" w14:textId="16523FD0" w:rsidR="003B49E0" w:rsidRPr="00CE150B" w:rsidRDefault="003B49E0" w:rsidP="00CE150B">
      <w:pPr>
        <w:pStyle w:val="Testo2"/>
        <w:numPr>
          <w:ilvl w:val="0"/>
          <w:numId w:val="11"/>
        </w:numPr>
        <w:ind w:left="0" w:firstLine="284"/>
        <w:rPr>
          <w:szCs w:val="18"/>
        </w:rPr>
      </w:pPr>
      <w:r w:rsidRPr="00CE150B">
        <w:rPr>
          <w:szCs w:val="18"/>
        </w:rPr>
        <w:t>valutare la conoscenza degli altri argomenti segnalati nella presente Guida di Facoltà (parte teorica).</w:t>
      </w:r>
    </w:p>
    <w:p w14:paraId="4233983B" w14:textId="3DFDC1FE" w:rsidR="003B49E0" w:rsidRPr="00CE150B" w:rsidRDefault="003B49E0" w:rsidP="00CE150B">
      <w:pPr>
        <w:pStyle w:val="Testo2"/>
        <w:spacing w:before="120"/>
      </w:pPr>
      <w:r w:rsidRPr="00CE150B">
        <w:t xml:space="preserve">Per superare la prova scritta lo studente dovrà dimostrare di essere sufficiente in ciascuna parte del programma affrontata dando prova di </w:t>
      </w:r>
    </w:p>
    <w:p w14:paraId="5063EF0B" w14:textId="77777777" w:rsidR="003B49E0" w:rsidRPr="00CE150B" w:rsidRDefault="003B49E0" w:rsidP="00CE150B">
      <w:pPr>
        <w:pStyle w:val="Testo2"/>
        <w:numPr>
          <w:ilvl w:val="0"/>
          <w:numId w:val="10"/>
        </w:numPr>
        <w:ind w:left="0" w:firstLine="284"/>
        <w:rPr>
          <w:szCs w:val="18"/>
        </w:rPr>
      </w:pPr>
      <w:r w:rsidRPr="00CE150B">
        <w:rPr>
          <w:szCs w:val="18"/>
        </w:rPr>
        <w:t>conoscere e saper applicare la logica delle rilevazioni contabili e il metodo della partita doppia. Si segnala che, per ottenere la sufficienza lo studente non dovrà compiere più di tre errori gravi. L’insufficienza in questa parte dell’esame dà luogo a una valutazione complessivamente insufficiente, anche nell’ipotesi in cui siano sufficienti le risposte a tutte le altre domande;</w:t>
      </w:r>
    </w:p>
    <w:p w14:paraId="4BE73C6A" w14:textId="3CB9DC64" w:rsidR="003B49E0" w:rsidRDefault="003B49E0" w:rsidP="00CE150B">
      <w:pPr>
        <w:pStyle w:val="Testo2"/>
        <w:numPr>
          <w:ilvl w:val="0"/>
          <w:numId w:val="10"/>
        </w:numPr>
        <w:ind w:left="0" w:firstLine="284"/>
        <w:rPr>
          <w:szCs w:val="18"/>
        </w:rPr>
      </w:pPr>
      <w:r w:rsidRPr="00CE150B">
        <w:rPr>
          <w:szCs w:val="18"/>
        </w:rPr>
        <w:t>conoscere, almeno in modo elementare, gli argomenti indicati nella presente Guida di Facoltà (parte teorica). L’insufficienza piena su una parte del programma determina una valutazione complessivamente insufficiente anche nell’ipotesi in cui siano sufficienti le risposte a tutte le altre domande</w:t>
      </w:r>
      <w:r w:rsidR="00C5062F">
        <w:rPr>
          <w:szCs w:val="18"/>
        </w:rPr>
        <w:t>.</w:t>
      </w:r>
    </w:p>
    <w:p w14:paraId="01059996" w14:textId="44D1DFF9" w:rsidR="003B49E0" w:rsidRDefault="003B49E0" w:rsidP="00CE150B">
      <w:pPr>
        <w:pStyle w:val="Testo2"/>
        <w:spacing w:before="120"/>
      </w:pPr>
      <w:r w:rsidRPr="00C5062F">
        <w:t xml:space="preserve">Per gli studenti </w:t>
      </w:r>
      <w:r w:rsidRPr="00C5062F">
        <w:rPr>
          <w:i/>
        </w:rPr>
        <w:t>frequentanti</w:t>
      </w:r>
      <w:r w:rsidRPr="00C5062F">
        <w:t xml:space="preserve"> è prevista la possibilità di suddividere l’esame in due prove parziali (una prova intermedia ed una prova di completamento)</w:t>
      </w:r>
      <w:r w:rsidR="00C5062F">
        <w:t xml:space="preserve"> ciascuna delle quali peserà per il 50% del voto finale</w:t>
      </w:r>
      <w:r w:rsidRPr="00C5062F">
        <w:t xml:space="preserve">. </w:t>
      </w:r>
    </w:p>
    <w:p w14:paraId="3FEE8725" w14:textId="77777777" w:rsidR="00CB54EF" w:rsidRDefault="00CB54EF" w:rsidP="00CB54EF">
      <w:pPr>
        <w:spacing w:before="240" w:after="120" w:line="240" w:lineRule="exact"/>
        <w:jc w:val="both"/>
        <w:rPr>
          <w:b/>
          <w:i/>
          <w:sz w:val="18"/>
        </w:rPr>
      </w:pPr>
      <w:r>
        <w:rPr>
          <w:b/>
          <w:i/>
          <w:sz w:val="18"/>
        </w:rPr>
        <w:t>AVVERTENZE E PREREQUISITI</w:t>
      </w:r>
    </w:p>
    <w:p w14:paraId="3CC36AA9" w14:textId="77777777" w:rsidR="00714EBE" w:rsidRDefault="00CB54EF" w:rsidP="00217944">
      <w:pPr>
        <w:pStyle w:val="Testo2"/>
      </w:pPr>
      <w:r w:rsidRPr="00F81914">
        <w:t>La frequenza e la partecipazione attiva alle lezioni e alle esercitazioni sono vivamente consigliate, in quanto contribuiscono a rendere più agevole l'apprendimento della materia e il superamento dell'esame.</w:t>
      </w:r>
      <w:r>
        <w:t xml:space="preserve"> </w:t>
      </w:r>
    </w:p>
    <w:p w14:paraId="2FDFB587" w14:textId="77777777" w:rsidR="000A0731" w:rsidRDefault="000A0731" w:rsidP="00CB54EF">
      <w:pPr>
        <w:pStyle w:val="Testo2"/>
        <w:spacing w:before="120"/>
      </w:pPr>
      <w:r w:rsidRPr="000A0731">
        <w:rPr>
          <w:i/>
        </w:rPr>
        <w:t>Nel caso in cui la situazione sanitaria relativa alla pandemia di Covid-19 non dovesse consentire la didattica in presenza, sarà garantita l’erogazione dell’insegnamento in distance learning</w:t>
      </w:r>
      <w:r w:rsidRPr="000A0731">
        <w:rPr>
          <w:i/>
          <w:iCs/>
        </w:rPr>
        <w:t xml:space="preserve"> </w:t>
      </w:r>
      <w:r w:rsidRPr="000A0731">
        <w:rPr>
          <w:i/>
        </w:rPr>
        <w:t>con modalità che verranno comunicate in tempo utile agli studenti.</w:t>
      </w:r>
    </w:p>
    <w:sectPr w:rsidR="000A073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B7975" w14:textId="77777777" w:rsidR="004C15A6" w:rsidRDefault="004C15A6" w:rsidP="00A81C01">
      <w:r>
        <w:separator/>
      </w:r>
    </w:p>
  </w:endnote>
  <w:endnote w:type="continuationSeparator" w:id="0">
    <w:p w14:paraId="72D02474" w14:textId="77777777" w:rsidR="004C15A6" w:rsidRDefault="004C15A6" w:rsidP="00A8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8FA1F" w14:textId="77777777" w:rsidR="004C15A6" w:rsidRDefault="004C15A6" w:rsidP="00A81C01">
      <w:r>
        <w:separator/>
      </w:r>
    </w:p>
  </w:footnote>
  <w:footnote w:type="continuationSeparator" w:id="0">
    <w:p w14:paraId="06E02A63" w14:textId="77777777" w:rsidR="004C15A6" w:rsidRDefault="004C15A6" w:rsidP="00A81C01">
      <w:r>
        <w:continuationSeparator/>
      </w:r>
    </w:p>
  </w:footnote>
  <w:footnote w:id="1">
    <w:p w14:paraId="14B5ADB7" w14:textId="6A13AC25" w:rsidR="009F719A" w:rsidRDefault="009F719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62B4"/>
    <w:multiLevelType w:val="hybridMultilevel"/>
    <w:tmpl w:val="BC2C5DF6"/>
    <w:lvl w:ilvl="0" w:tplc="CA0236E0">
      <w:numFmt w:val="bullet"/>
      <w:lvlText w:val="-"/>
      <w:lvlJc w:val="left"/>
      <w:pPr>
        <w:ind w:left="720" w:hanging="360"/>
      </w:pPr>
      <w:rPr>
        <w:rFonts w:ascii="Times" w:eastAsia="MS Mincho"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9679F5"/>
    <w:multiLevelType w:val="hybridMultilevel"/>
    <w:tmpl w:val="EA9E4F9A"/>
    <w:lvl w:ilvl="0" w:tplc="2850ED68">
      <w:start w:val="1"/>
      <w:numFmt w:val="bullet"/>
      <w:lvlText w:val=""/>
      <w:lvlJc w:val="left"/>
      <w:pPr>
        <w:ind w:left="1065" w:hanging="705"/>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9B5C43"/>
    <w:multiLevelType w:val="hybridMultilevel"/>
    <w:tmpl w:val="884411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DF4A89"/>
    <w:multiLevelType w:val="hybridMultilevel"/>
    <w:tmpl w:val="011835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86428A"/>
    <w:multiLevelType w:val="hybridMultilevel"/>
    <w:tmpl w:val="54E8AF0C"/>
    <w:lvl w:ilvl="0" w:tplc="D2909EF2">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36372C21"/>
    <w:multiLevelType w:val="hybridMultilevel"/>
    <w:tmpl w:val="1B422960"/>
    <w:lvl w:ilvl="0" w:tplc="7492A936">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9C336C7"/>
    <w:multiLevelType w:val="hybridMultilevel"/>
    <w:tmpl w:val="4BC88C8E"/>
    <w:lvl w:ilvl="0" w:tplc="2850ED6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3FC52947"/>
    <w:multiLevelType w:val="hybridMultilevel"/>
    <w:tmpl w:val="78F82FDE"/>
    <w:lvl w:ilvl="0" w:tplc="ECF62E9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6F607F4"/>
    <w:multiLevelType w:val="hybridMultilevel"/>
    <w:tmpl w:val="B4A6B1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C9E7C2C"/>
    <w:multiLevelType w:val="hybridMultilevel"/>
    <w:tmpl w:val="E6DC3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1020595"/>
    <w:multiLevelType w:val="hybridMultilevel"/>
    <w:tmpl w:val="CFD839D2"/>
    <w:lvl w:ilvl="0" w:tplc="2850ED6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63D3598F"/>
    <w:multiLevelType w:val="hybridMultilevel"/>
    <w:tmpl w:val="F9C0EB00"/>
    <w:lvl w:ilvl="0" w:tplc="720249B0">
      <w:start w:val="510"/>
      <w:numFmt w:val="bullet"/>
      <w:lvlText w:val="-"/>
      <w:lvlJc w:val="left"/>
      <w:pPr>
        <w:tabs>
          <w:tab w:val="num" w:pos="360"/>
        </w:tabs>
        <w:ind w:left="360" w:hanging="360"/>
      </w:pPr>
      <w:rPr>
        <w:rFonts w:ascii="Calibri" w:eastAsia="Century Schoolbook" w:hAnsi="Calibri" w:cs="Century Schoolbook"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nsid w:val="665B7715"/>
    <w:multiLevelType w:val="hybridMultilevel"/>
    <w:tmpl w:val="7F36D436"/>
    <w:lvl w:ilvl="0" w:tplc="04100015">
      <w:start w:val="1"/>
      <w:numFmt w:val="upp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69616D8D"/>
    <w:multiLevelType w:val="hybridMultilevel"/>
    <w:tmpl w:val="7D301792"/>
    <w:lvl w:ilvl="0" w:tplc="88F8090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8E778F4"/>
    <w:multiLevelType w:val="hybridMultilevel"/>
    <w:tmpl w:val="1E9E138C"/>
    <w:lvl w:ilvl="0" w:tplc="CF70B0F4">
      <w:start w:val="19"/>
      <w:numFmt w:val="bullet"/>
      <w:lvlText w:val="-"/>
      <w:lvlJc w:val="left"/>
      <w:pPr>
        <w:ind w:left="360" w:hanging="360"/>
      </w:pPr>
      <w:rPr>
        <w:rFonts w:ascii="Times New Roman" w:eastAsia="MS Mincho"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7F3B451B"/>
    <w:multiLevelType w:val="hybridMultilevel"/>
    <w:tmpl w:val="73E8F7F8"/>
    <w:lvl w:ilvl="0" w:tplc="34D8CAD8">
      <w:start w:val="19"/>
      <w:numFmt w:val="bullet"/>
      <w:lvlText w:val="-"/>
      <w:lvlJc w:val="left"/>
      <w:pPr>
        <w:ind w:left="360" w:hanging="360"/>
      </w:pPr>
      <w:rPr>
        <w:rFonts w:ascii="Times New Roman" w:eastAsia="MS Mincho"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
  </w:num>
  <w:num w:numId="4">
    <w:abstractNumId w:val="11"/>
  </w:num>
  <w:num w:numId="5">
    <w:abstractNumId w:val="12"/>
  </w:num>
  <w:num w:numId="6">
    <w:abstractNumId w:val="6"/>
  </w:num>
  <w:num w:numId="7">
    <w:abstractNumId w:val="4"/>
  </w:num>
  <w:num w:numId="8">
    <w:abstractNumId w:val="0"/>
  </w:num>
  <w:num w:numId="9">
    <w:abstractNumId w:val="8"/>
  </w:num>
  <w:num w:numId="10">
    <w:abstractNumId w:val="10"/>
  </w:num>
  <w:num w:numId="11">
    <w:abstractNumId w:val="9"/>
  </w:num>
  <w:num w:numId="12">
    <w:abstractNumId w:val="13"/>
  </w:num>
  <w:num w:numId="13">
    <w:abstractNumId w:val="2"/>
  </w:num>
  <w:num w:numId="14">
    <w:abstractNumId w:val="14"/>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37"/>
    <w:rsid w:val="000A0731"/>
    <w:rsid w:val="00187B99"/>
    <w:rsid w:val="002013EB"/>
    <w:rsid w:val="002014DD"/>
    <w:rsid w:val="00211C86"/>
    <w:rsid w:val="00212CE4"/>
    <w:rsid w:val="00213BD6"/>
    <w:rsid w:val="00217944"/>
    <w:rsid w:val="002D4F83"/>
    <w:rsid w:val="002D5E17"/>
    <w:rsid w:val="0033437D"/>
    <w:rsid w:val="003B49E0"/>
    <w:rsid w:val="00400434"/>
    <w:rsid w:val="0041286D"/>
    <w:rsid w:val="004412C1"/>
    <w:rsid w:val="00473DE1"/>
    <w:rsid w:val="004C15A6"/>
    <w:rsid w:val="004D1217"/>
    <w:rsid w:val="004D6008"/>
    <w:rsid w:val="00542054"/>
    <w:rsid w:val="0055555D"/>
    <w:rsid w:val="00640794"/>
    <w:rsid w:val="006F1772"/>
    <w:rsid w:val="00714EBE"/>
    <w:rsid w:val="0085464B"/>
    <w:rsid w:val="008942E7"/>
    <w:rsid w:val="008A1204"/>
    <w:rsid w:val="00900CCA"/>
    <w:rsid w:val="0091006F"/>
    <w:rsid w:val="00924B77"/>
    <w:rsid w:val="00940DA2"/>
    <w:rsid w:val="00986D00"/>
    <w:rsid w:val="009E055C"/>
    <w:rsid w:val="009F719A"/>
    <w:rsid w:val="00A56A1F"/>
    <w:rsid w:val="00A74F6F"/>
    <w:rsid w:val="00A80179"/>
    <w:rsid w:val="00A81C01"/>
    <w:rsid w:val="00A977AA"/>
    <w:rsid w:val="00AB28C6"/>
    <w:rsid w:val="00AD7557"/>
    <w:rsid w:val="00B50C5D"/>
    <w:rsid w:val="00B51253"/>
    <w:rsid w:val="00B525CC"/>
    <w:rsid w:val="00BA0926"/>
    <w:rsid w:val="00BA2DD5"/>
    <w:rsid w:val="00C02D37"/>
    <w:rsid w:val="00C5062F"/>
    <w:rsid w:val="00C5651E"/>
    <w:rsid w:val="00C5709B"/>
    <w:rsid w:val="00CB54EF"/>
    <w:rsid w:val="00CE150B"/>
    <w:rsid w:val="00D404F2"/>
    <w:rsid w:val="00E32AC7"/>
    <w:rsid w:val="00E607E6"/>
    <w:rsid w:val="00F47128"/>
    <w:rsid w:val="00F601CE"/>
    <w:rsid w:val="00F761D0"/>
    <w:rsid w:val="00FD5F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4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EBE"/>
    <w:rPr>
      <w:rFonts w:eastAsia="MS Mincho"/>
      <w:sz w:val="24"/>
      <w:szCs w:val="24"/>
      <w:lang w:eastAsia="ja-JP"/>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14EBE"/>
    <w:pPr>
      <w:ind w:left="720"/>
      <w:contextualSpacing/>
    </w:pPr>
  </w:style>
  <w:style w:type="paragraph" w:styleId="Testonotaapidipagina">
    <w:name w:val="footnote text"/>
    <w:basedOn w:val="Normale"/>
    <w:link w:val="TestonotaapidipaginaCarattere"/>
    <w:rsid w:val="00A81C01"/>
    <w:rPr>
      <w:sz w:val="20"/>
      <w:szCs w:val="20"/>
    </w:rPr>
  </w:style>
  <w:style w:type="character" w:customStyle="1" w:styleId="TestonotaapidipaginaCarattere">
    <w:name w:val="Testo nota a piè di pagina Carattere"/>
    <w:basedOn w:val="Carpredefinitoparagrafo"/>
    <w:link w:val="Testonotaapidipagina"/>
    <w:rsid w:val="00A81C01"/>
    <w:rPr>
      <w:rFonts w:eastAsia="MS Mincho"/>
      <w:lang w:eastAsia="ja-JP"/>
    </w:rPr>
  </w:style>
  <w:style w:type="character" w:styleId="Rimandonotaapidipagina">
    <w:name w:val="footnote reference"/>
    <w:basedOn w:val="Carpredefinitoparagrafo"/>
    <w:rsid w:val="00A81C01"/>
    <w:rPr>
      <w:vertAlign w:val="superscript"/>
    </w:rPr>
  </w:style>
  <w:style w:type="character" w:styleId="Collegamentoipertestuale">
    <w:name w:val="Hyperlink"/>
    <w:basedOn w:val="Carpredefinitoparagrafo"/>
    <w:rsid w:val="00A81C01"/>
    <w:rPr>
      <w:color w:val="0563C1" w:themeColor="hyperlink"/>
      <w:u w:val="single"/>
    </w:rPr>
  </w:style>
  <w:style w:type="paragraph" w:styleId="Revisione">
    <w:name w:val="Revision"/>
    <w:hidden/>
    <w:uiPriority w:val="99"/>
    <w:semiHidden/>
    <w:rsid w:val="00C5062F"/>
    <w:rPr>
      <w:rFonts w:eastAsia="MS Mincho"/>
      <w:sz w:val="24"/>
      <w:szCs w:val="24"/>
      <w:lang w:eastAsia="ja-JP"/>
    </w:rPr>
  </w:style>
  <w:style w:type="character" w:styleId="Rimandocommento">
    <w:name w:val="annotation reference"/>
    <w:basedOn w:val="Carpredefinitoparagrafo"/>
    <w:semiHidden/>
    <w:unhideWhenUsed/>
    <w:rsid w:val="00C5062F"/>
    <w:rPr>
      <w:sz w:val="16"/>
      <w:szCs w:val="16"/>
    </w:rPr>
  </w:style>
  <w:style w:type="paragraph" w:styleId="Testocommento">
    <w:name w:val="annotation text"/>
    <w:basedOn w:val="Normale"/>
    <w:link w:val="TestocommentoCarattere"/>
    <w:semiHidden/>
    <w:unhideWhenUsed/>
    <w:rsid w:val="00C5062F"/>
    <w:rPr>
      <w:sz w:val="20"/>
      <w:szCs w:val="20"/>
    </w:rPr>
  </w:style>
  <w:style w:type="character" w:customStyle="1" w:styleId="TestocommentoCarattere">
    <w:name w:val="Testo commento Carattere"/>
    <w:basedOn w:val="Carpredefinitoparagrafo"/>
    <w:link w:val="Testocommento"/>
    <w:semiHidden/>
    <w:rsid w:val="00C5062F"/>
    <w:rPr>
      <w:rFonts w:eastAsia="MS Mincho"/>
      <w:lang w:eastAsia="ja-JP"/>
    </w:rPr>
  </w:style>
  <w:style w:type="paragraph" w:styleId="Soggettocommento">
    <w:name w:val="annotation subject"/>
    <w:basedOn w:val="Testocommento"/>
    <w:next w:val="Testocommento"/>
    <w:link w:val="SoggettocommentoCarattere"/>
    <w:semiHidden/>
    <w:unhideWhenUsed/>
    <w:rsid w:val="00C5062F"/>
    <w:rPr>
      <w:b/>
      <w:bCs/>
    </w:rPr>
  </w:style>
  <w:style w:type="character" w:customStyle="1" w:styleId="SoggettocommentoCarattere">
    <w:name w:val="Soggetto commento Carattere"/>
    <w:basedOn w:val="TestocommentoCarattere"/>
    <w:link w:val="Soggettocommento"/>
    <w:semiHidden/>
    <w:rsid w:val="00C5062F"/>
    <w:rPr>
      <w:rFonts w:eastAsia="MS Mincho"/>
      <w:b/>
      <w:bCs/>
      <w:lang w:eastAsia="ja-JP"/>
    </w:rPr>
  </w:style>
  <w:style w:type="paragraph" w:styleId="Testofumetto">
    <w:name w:val="Balloon Text"/>
    <w:basedOn w:val="Normale"/>
    <w:link w:val="TestofumettoCarattere"/>
    <w:semiHidden/>
    <w:unhideWhenUsed/>
    <w:rsid w:val="0091006F"/>
    <w:rPr>
      <w:rFonts w:ascii="Segoe UI" w:hAnsi="Segoe UI" w:cs="Segoe UI"/>
      <w:sz w:val="18"/>
      <w:szCs w:val="18"/>
    </w:rPr>
  </w:style>
  <w:style w:type="character" w:customStyle="1" w:styleId="TestofumettoCarattere">
    <w:name w:val="Testo fumetto Carattere"/>
    <w:basedOn w:val="Carpredefinitoparagrafo"/>
    <w:link w:val="Testofumetto"/>
    <w:semiHidden/>
    <w:rsid w:val="0091006F"/>
    <w:rPr>
      <w:rFonts w:ascii="Segoe UI" w:eastAsia="MS Mincho" w:hAnsi="Segoe UI" w:cs="Segoe UI"/>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EBE"/>
    <w:rPr>
      <w:rFonts w:eastAsia="MS Mincho"/>
      <w:sz w:val="24"/>
      <w:szCs w:val="24"/>
      <w:lang w:eastAsia="ja-JP"/>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14EBE"/>
    <w:pPr>
      <w:ind w:left="720"/>
      <w:contextualSpacing/>
    </w:pPr>
  </w:style>
  <w:style w:type="paragraph" w:styleId="Testonotaapidipagina">
    <w:name w:val="footnote text"/>
    <w:basedOn w:val="Normale"/>
    <w:link w:val="TestonotaapidipaginaCarattere"/>
    <w:rsid w:val="00A81C01"/>
    <w:rPr>
      <w:sz w:val="20"/>
      <w:szCs w:val="20"/>
    </w:rPr>
  </w:style>
  <w:style w:type="character" w:customStyle="1" w:styleId="TestonotaapidipaginaCarattere">
    <w:name w:val="Testo nota a piè di pagina Carattere"/>
    <w:basedOn w:val="Carpredefinitoparagrafo"/>
    <w:link w:val="Testonotaapidipagina"/>
    <w:rsid w:val="00A81C01"/>
    <w:rPr>
      <w:rFonts w:eastAsia="MS Mincho"/>
      <w:lang w:eastAsia="ja-JP"/>
    </w:rPr>
  </w:style>
  <w:style w:type="character" w:styleId="Rimandonotaapidipagina">
    <w:name w:val="footnote reference"/>
    <w:basedOn w:val="Carpredefinitoparagrafo"/>
    <w:rsid w:val="00A81C01"/>
    <w:rPr>
      <w:vertAlign w:val="superscript"/>
    </w:rPr>
  </w:style>
  <w:style w:type="character" w:styleId="Collegamentoipertestuale">
    <w:name w:val="Hyperlink"/>
    <w:basedOn w:val="Carpredefinitoparagrafo"/>
    <w:rsid w:val="00A81C01"/>
    <w:rPr>
      <w:color w:val="0563C1" w:themeColor="hyperlink"/>
      <w:u w:val="single"/>
    </w:rPr>
  </w:style>
  <w:style w:type="paragraph" w:styleId="Revisione">
    <w:name w:val="Revision"/>
    <w:hidden/>
    <w:uiPriority w:val="99"/>
    <w:semiHidden/>
    <w:rsid w:val="00C5062F"/>
    <w:rPr>
      <w:rFonts w:eastAsia="MS Mincho"/>
      <w:sz w:val="24"/>
      <w:szCs w:val="24"/>
      <w:lang w:eastAsia="ja-JP"/>
    </w:rPr>
  </w:style>
  <w:style w:type="character" w:styleId="Rimandocommento">
    <w:name w:val="annotation reference"/>
    <w:basedOn w:val="Carpredefinitoparagrafo"/>
    <w:semiHidden/>
    <w:unhideWhenUsed/>
    <w:rsid w:val="00C5062F"/>
    <w:rPr>
      <w:sz w:val="16"/>
      <w:szCs w:val="16"/>
    </w:rPr>
  </w:style>
  <w:style w:type="paragraph" w:styleId="Testocommento">
    <w:name w:val="annotation text"/>
    <w:basedOn w:val="Normale"/>
    <w:link w:val="TestocommentoCarattere"/>
    <w:semiHidden/>
    <w:unhideWhenUsed/>
    <w:rsid w:val="00C5062F"/>
    <w:rPr>
      <w:sz w:val="20"/>
      <w:szCs w:val="20"/>
    </w:rPr>
  </w:style>
  <w:style w:type="character" w:customStyle="1" w:styleId="TestocommentoCarattere">
    <w:name w:val="Testo commento Carattere"/>
    <w:basedOn w:val="Carpredefinitoparagrafo"/>
    <w:link w:val="Testocommento"/>
    <w:semiHidden/>
    <w:rsid w:val="00C5062F"/>
    <w:rPr>
      <w:rFonts w:eastAsia="MS Mincho"/>
      <w:lang w:eastAsia="ja-JP"/>
    </w:rPr>
  </w:style>
  <w:style w:type="paragraph" w:styleId="Soggettocommento">
    <w:name w:val="annotation subject"/>
    <w:basedOn w:val="Testocommento"/>
    <w:next w:val="Testocommento"/>
    <w:link w:val="SoggettocommentoCarattere"/>
    <w:semiHidden/>
    <w:unhideWhenUsed/>
    <w:rsid w:val="00C5062F"/>
    <w:rPr>
      <w:b/>
      <w:bCs/>
    </w:rPr>
  </w:style>
  <w:style w:type="character" w:customStyle="1" w:styleId="SoggettocommentoCarattere">
    <w:name w:val="Soggetto commento Carattere"/>
    <w:basedOn w:val="TestocommentoCarattere"/>
    <w:link w:val="Soggettocommento"/>
    <w:semiHidden/>
    <w:rsid w:val="00C5062F"/>
    <w:rPr>
      <w:rFonts w:eastAsia="MS Mincho"/>
      <w:b/>
      <w:bCs/>
      <w:lang w:eastAsia="ja-JP"/>
    </w:rPr>
  </w:style>
  <w:style w:type="paragraph" w:styleId="Testofumetto">
    <w:name w:val="Balloon Text"/>
    <w:basedOn w:val="Normale"/>
    <w:link w:val="TestofumettoCarattere"/>
    <w:semiHidden/>
    <w:unhideWhenUsed/>
    <w:rsid w:val="0091006F"/>
    <w:rPr>
      <w:rFonts w:ascii="Segoe UI" w:hAnsi="Segoe UI" w:cs="Segoe UI"/>
      <w:sz w:val="18"/>
      <w:szCs w:val="18"/>
    </w:rPr>
  </w:style>
  <w:style w:type="character" w:customStyle="1" w:styleId="TestofumettoCarattere">
    <w:name w:val="Testo fumetto Carattere"/>
    <w:basedOn w:val="Carpredefinitoparagrafo"/>
    <w:link w:val="Testofumetto"/>
    <w:semiHidden/>
    <w:rsid w:val="0091006F"/>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andrea-cerri-mario-daniele/appunti-di-contabilita-e-bilancio-9788893355056-675498.html" TargetMode="External"/><Relationship Id="rId4" Type="http://schemas.microsoft.com/office/2007/relationships/stylesWithEffects" Target="stylesWithEffects.xml"/><Relationship Id="rId9" Type="http://schemas.openxmlformats.org/officeDocument/2006/relationships/hyperlink" Target="https://librerie.unicatt.it/scheda-libro/giuseppe-airoldi-giorgio-brunetti-vittorio-coda/corso-di-economia-aziendale-9788815290953-68647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656F2-5076-4708-8A57-D95BF72C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785</Words>
  <Characters>5114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2021-01-12T13:12:00Z</cp:lastPrinted>
  <dcterms:created xsi:type="dcterms:W3CDTF">2022-04-24T14:17:00Z</dcterms:created>
  <dcterms:modified xsi:type="dcterms:W3CDTF">2022-07-26T12:41:00Z</dcterms:modified>
</cp:coreProperties>
</file>