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59B03" w14:textId="77777777" w:rsidR="007F3F95" w:rsidRPr="00B23C43" w:rsidRDefault="007F3F95" w:rsidP="007C300F">
      <w:pPr>
        <w:pStyle w:val="Titolo1"/>
      </w:pPr>
      <w:r w:rsidRPr="00B23C43">
        <w:t>Finanza aziendale</w:t>
      </w:r>
    </w:p>
    <w:p w14:paraId="79889196" w14:textId="77777777" w:rsidR="007F3F95" w:rsidRPr="00B23C43" w:rsidRDefault="007F3F95" w:rsidP="007F3F95">
      <w:pPr>
        <w:tabs>
          <w:tab w:val="clear" w:pos="284"/>
        </w:tabs>
        <w:jc w:val="left"/>
        <w:outlineLvl w:val="1"/>
        <w:rPr>
          <w:smallCaps/>
          <w:noProof/>
          <w:sz w:val="18"/>
          <w:szCs w:val="18"/>
        </w:rPr>
      </w:pPr>
      <w:r w:rsidRPr="00B23C43">
        <w:rPr>
          <w:smallCaps/>
          <w:noProof/>
          <w:sz w:val="18"/>
          <w:szCs w:val="18"/>
        </w:rPr>
        <w:t>Gr.A-Cl: Prof. Massimo Belcredi; Gr.Co-La: Prof. Alfonso Del Giudice ; Gr.Le-Po: Prof. Silvia Rigamonti; Gr.Pr-Z: Prof. Luca Viarengo</w:t>
      </w:r>
    </w:p>
    <w:p w14:paraId="07461CFC" w14:textId="77777777" w:rsidR="00257104" w:rsidRPr="00B23C43" w:rsidRDefault="00257104" w:rsidP="00257104">
      <w:pPr>
        <w:spacing w:before="240" w:after="120"/>
        <w:rPr>
          <w:b/>
          <w:sz w:val="18"/>
          <w:szCs w:val="18"/>
        </w:rPr>
      </w:pPr>
      <w:r w:rsidRPr="00B23C43">
        <w:rPr>
          <w:b/>
          <w:i/>
          <w:sz w:val="18"/>
          <w:szCs w:val="18"/>
        </w:rPr>
        <w:t>OBIETTIVO DEL CORSO E RISULTATI DI APPRENDIMENTO ATTESI</w:t>
      </w:r>
    </w:p>
    <w:p w14:paraId="27D29BD5" w14:textId="77777777" w:rsidR="00257104" w:rsidRPr="00BA2D6B" w:rsidRDefault="00257104" w:rsidP="00257104">
      <w:pPr>
        <w:tabs>
          <w:tab w:val="clear" w:pos="284"/>
        </w:tabs>
        <w:rPr>
          <w:szCs w:val="20"/>
        </w:rPr>
      </w:pPr>
      <w:r w:rsidRPr="00BA2D6B">
        <w:rPr>
          <w:rFonts w:eastAsia="Calibri"/>
          <w:szCs w:val="20"/>
          <w:lang w:eastAsia="en-US"/>
        </w:rPr>
        <w:t xml:space="preserve">Obiettivo del corso è fornire agli studenti gli elementi di base per la comprensione delle principali decisioni di Finanza Aziendale (investimento e finanziamento). Il corso ha carattere introduttivo alle tematiche citate, destinate ad essere approfondite all’interno dei corsi di Laurea Magistrale. </w:t>
      </w:r>
      <w:r w:rsidRPr="00BA2D6B">
        <w:rPr>
          <w:szCs w:val="20"/>
        </w:rPr>
        <w:t>Al termine del corso gli studenti avranno acquisito:</w:t>
      </w:r>
    </w:p>
    <w:p w14:paraId="55B0FB44" w14:textId="77777777" w:rsidR="00257104" w:rsidRPr="00BA2D6B" w:rsidRDefault="00257104" w:rsidP="00257104">
      <w:pPr>
        <w:tabs>
          <w:tab w:val="clear" w:pos="284"/>
        </w:tabs>
        <w:ind w:left="284" w:hanging="284"/>
        <w:rPr>
          <w:szCs w:val="20"/>
        </w:rPr>
      </w:pPr>
      <w:r w:rsidRPr="00BA2D6B">
        <w:rPr>
          <w:szCs w:val="20"/>
        </w:rPr>
        <w:t xml:space="preserve">1. </w:t>
      </w:r>
      <w:r w:rsidRPr="00BA2D6B">
        <w:rPr>
          <w:szCs w:val="20"/>
        </w:rPr>
        <w:tab/>
        <w:t>la conoscenza e la comprensione dei concetti-base della materia, utilizzabili per interpretare le principali decisioni finanziarie d’azienda.</w:t>
      </w:r>
    </w:p>
    <w:p w14:paraId="01A44516" w14:textId="77777777" w:rsidR="00257104" w:rsidRPr="00BA2D6B" w:rsidRDefault="00257104" w:rsidP="00257104">
      <w:pPr>
        <w:tabs>
          <w:tab w:val="clear" w:pos="284"/>
        </w:tabs>
        <w:ind w:left="284" w:hanging="284"/>
        <w:rPr>
          <w:szCs w:val="20"/>
        </w:rPr>
      </w:pPr>
      <w:r w:rsidRPr="00BA2D6B">
        <w:rPr>
          <w:szCs w:val="20"/>
        </w:rPr>
        <w:t>2.</w:t>
      </w:r>
      <w:r w:rsidRPr="00BA2D6B">
        <w:rPr>
          <w:szCs w:val="20"/>
        </w:rPr>
        <w:tab/>
        <w:t>la capacità di applicare tali conoscenze al fine di prendere decisioni di investimento e finanziamento d’azienda, in un contesto semplificato.</w:t>
      </w:r>
    </w:p>
    <w:p w14:paraId="15FB0741" w14:textId="77777777" w:rsidR="00257104" w:rsidRPr="00BA2D6B" w:rsidRDefault="00257104" w:rsidP="00257104">
      <w:pPr>
        <w:tabs>
          <w:tab w:val="clear" w:pos="284"/>
        </w:tabs>
        <w:ind w:left="284" w:hanging="284"/>
        <w:rPr>
          <w:szCs w:val="20"/>
        </w:rPr>
      </w:pPr>
      <w:r w:rsidRPr="00BA2D6B">
        <w:rPr>
          <w:szCs w:val="20"/>
        </w:rPr>
        <w:t xml:space="preserve">3. </w:t>
      </w:r>
      <w:r w:rsidRPr="00BA2D6B">
        <w:rPr>
          <w:szCs w:val="20"/>
        </w:rPr>
        <w:tab/>
        <w:t>la capacità di raccogliere e interpretare i dati ritenuti utili come fondamento delle decisioni investimento e finanziamento e a determinare giudizi autonomi in tale ambito.</w:t>
      </w:r>
    </w:p>
    <w:p w14:paraId="5A520D2C" w14:textId="77777777" w:rsidR="00257104" w:rsidRPr="00BA2D6B" w:rsidRDefault="00257104" w:rsidP="00257104">
      <w:pPr>
        <w:tabs>
          <w:tab w:val="clear" w:pos="284"/>
        </w:tabs>
        <w:ind w:left="284" w:hanging="284"/>
        <w:rPr>
          <w:szCs w:val="20"/>
        </w:rPr>
      </w:pPr>
      <w:r w:rsidRPr="00BA2D6B">
        <w:rPr>
          <w:szCs w:val="20"/>
        </w:rPr>
        <w:t xml:space="preserve">4. </w:t>
      </w:r>
      <w:r w:rsidRPr="00BA2D6B">
        <w:rPr>
          <w:szCs w:val="20"/>
        </w:rPr>
        <w:tab/>
        <w:t>un linguaggio tecnico che consenta loro di comunicare con chiarezza ed efficacia le conoscenze acquisite.</w:t>
      </w:r>
    </w:p>
    <w:p w14:paraId="18D03E0C" w14:textId="77777777" w:rsidR="00257104" w:rsidRPr="00BA2D6B" w:rsidRDefault="00257104" w:rsidP="00257104">
      <w:pPr>
        <w:tabs>
          <w:tab w:val="clear" w:pos="284"/>
        </w:tabs>
        <w:ind w:left="284" w:hanging="284"/>
        <w:rPr>
          <w:szCs w:val="20"/>
        </w:rPr>
      </w:pPr>
      <w:r w:rsidRPr="00BA2D6B">
        <w:rPr>
          <w:szCs w:val="20"/>
        </w:rPr>
        <w:t>5. le capacità di apprendimento necessarie per svolgere ulteriori approfondimenti nell’ambito dei corsi di laurea magistrale con un alto grado di autonomia.</w:t>
      </w:r>
    </w:p>
    <w:p w14:paraId="07E9011E" w14:textId="77777777" w:rsidR="00257104" w:rsidRPr="00EA24BB" w:rsidRDefault="00257104" w:rsidP="00257104">
      <w:pPr>
        <w:spacing w:before="240" w:after="120"/>
        <w:rPr>
          <w:b/>
          <w:sz w:val="18"/>
          <w:szCs w:val="18"/>
        </w:rPr>
      </w:pPr>
      <w:r w:rsidRPr="00EA24BB">
        <w:rPr>
          <w:b/>
          <w:i/>
          <w:sz w:val="18"/>
          <w:szCs w:val="18"/>
        </w:rPr>
        <w:t>PROGRAMMA DEL CORSO</w:t>
      </w:r>
    </w:p>
    <w:p w14:paraId="10DC9C91" w14:textId="77777777" w:rsidR="00257104" w:rsidRPr="00BA2D6B" w:rsidRDefault="00257104" w:rsidP="00257104">
      <w:pPr>
        <w:tabs>
          <w:tab w:val="clear" w:pos="284"/>
        </w:tabs>
        <w:spacing w:line="220" w:lineRule="exact"/>
        <w:ind w:firstLine="284"/>
        <w:rPr>
          <w:noProof/>
          <w:szCs w:val="20"/>
        </w:rPr>
      </w:pPr>
      <w:r w:rsidRPr="00BA2D6B">
        <w:rPr>
          <w:rFonts w:eastAsia="Calibri"/>
          <w:szCs w:val="20"/>
          <w:lang w:eastAsia="en-US"/>
        </w:rPr>
        <w:t>Il programma del corso (</w:t>
      </w:r>
      <w:r w:rsidRPr="00BA2D6B">
        <w:rPr>
          <w:noProof/>
          <w:szCs w:val="20"/>
        </w:rPr>
        <w:t>identico per tutti i gruppi di lettere</w:t>
      </w:r>
      <w:r w:rsidRPr="00BA2D6B">
        <w:rPr>
          <w:rFonts w:eastAsia="Calibri"/>
          <w:szCs w:val="20"/>
          <w:lang w:eastAsia="en-US"/>
        </w:rPr>
        <w:t>) è articolato come segue:</w:t>
      </w:r>
    </w:p>
    <w:p w14:paraId="7A6F10C8" w14:textId="77777777" w:rsidR="00257104" w:rsidRPr="00BA2D6B" w:rsidRDefault="00257104" w:rsidP="00257104">
      <w:pPr>
        <w:tabs>
          <w:tab w:val="clear" w:pos="284"/>
        </w:tabs>
        <w:ind w:left="284" w:hanging="284"/>
        <w:rPr>
          <w:rFonts w:eastAsia="Calibri"/>
          <w:szCs w:val="20"/>
          <w:lang w:eastAsia="en-US"/>
        </w:rPr>
      </w:pPr>
      <w:r w:rsidRPr="00BA2D6B">
        <w:rPr>
          <w:rFonts w:eastAsia="Calibri"/>
          <w:szCs w:val="20"/>
          <w:lang w:eastAsia="en-US"/>
        </w:rPr>
        <w:t>1.</w:t>
      </w:r>
      <w:r w:rsidRPr="00BA2D6B">
        <w:rPr>
          <w:rFonts w:eastAsia="Calibri"/>
          <w:szCs w:val="20"/>
          <w:lang w:eastAsia="en-US"/>
        </w:rPr>
        <w:tab/>
      </w:r>
      <w:r w:rsidRPr="00BA2D6B">
        <w:rPr>
          <w:rFonts w:eastAsia="Calibri"/>
          <w:i/>
          <w:szCs w:val="20"/>
          <w:lang w:eastAsia="en-US"/>
        </w:rPr>
        <w:t>Le determinanti dei prezzi delle attività finanziarie</w:t>
      </w:r>
      <w:r w:rsidRPr="00BA2D6B">
        <w:rPr>
          <w:rFonts w:eastAsia="Calibri"/>
          <w:szCs w:val="20"/>
          <w:lang w:eastAsia="en-US"/>
        </w:rPr>
        <w:t>. Il principio del valore attuale. La valutazione delle obbligazioni e delle azioni.</w:t>
      </w:r>
    </w:p>
    <w:p w14:paraId="11E3CC02" w14:textId="77777777" w:rsidR="00257104" w:rsidRPr="00BA2D6B" w:rsidRDefault="00257104" w:rsidP="00257104">
      <w:pPr>
        <w:tabs>
          <w:tab w:val="clear" w:pos="284"/>
        </w:tabs>
        <w:ind w:left="284" w:hanging="284"/>
        <w:rPr>
          <w:rFonts w:eastAsia="Calibri"/>
          <w:szCs w:val="20"/>
          <w:lang w:eastAsia="en-US"/>
        </w:rPr>
      </w:pPr>
      <w:r w:rsidRPr="00BA2D6B">
        <w:rPr>
          <w:rFonts w:eastAsia="Calibri"/>
          <w:szCs w:val="20"/>
          <w:lang w:eastAsia="en-US"/>
        </w:rPr>
        <w:t>2.</w:t>
      </w:r>
      <w:r w:rsidRPr="00BA2D6B">
        <w:rPr>
          <w:rFonts w:eastAsia="Calibri"/>
          <w:szCs w:val="20"/>
          <w:lang w:eastAsia="en-US"/>
        </w:rPr>
        <w:tab/>
      </w:r>
      <w:r w:rsidRPr="00BA2D6B">
        <w:rPr>
          <w:rFonts w:eastAsia="Calibri"/>
          <w:i/>
          <w:szCs w:val="20"/>
          <w:lang w:eastAsia="en-US"/>
        </w:rPr>
        <w:t>L'impiego del VAN per l'analisi delle decisioni aziendali</w:t>
      </w:r>
      <w:r w:rsidRPr="00BA2D6B">
        <w:rPr>
          <w:rFonts w:eastAsia="Calibri"/>
          <w:szCs w:val="20"/>
          <w:lang w:eastAsia="en-US"/>
        </w:rPr>
        <w:t xml:space="preserve">. Definizione del concetto di VAN. Come individuare i flussi rilevanti. </w:t>
      </w:r>
    </w:p>
    <w:p w14:paraId="6B162C3C" w14:textId="77777777" w:rsidR="00257104" w:rsidRPr="00BA2D6B" w:rsidRDefault="00257104" w:rsidP="00257104">
      <w:pPr>
        <w:tabs>
          <w:tab w:val="clear" w:pos="284"/>
        </w:tabs>
        <w:ind w:left="284" w:hanging="284"/>
        <w:rPr>
          <w:rFonts w:eastAsia="Calibri"/>
          <w:szCs w:val="20"/>
          <w:lang w:eastAsia="en-US"/>
        </w:rPr>
      </w:pPr>
      <w:r w:rsidRPr="00BA2D6B">
        <w:rPr>
          <w:rFonts w:eastAsia="Calibri"/>
          <w:szCs w:val="20"/>
          <w:lang w:eastAsia="en-US"/>
        </w:rPr>
        <w:t>3.</w:t>
      </w:r>
      <w:r w:rsidRPr="00BA2D6B">
        <w:rPr>
          <w:rFonts w:eastAsia="Calibri"/>
          <w:szCs w:val="20"/>
          <w:lang w:eastAsia="en-US"/>
        </w:rPr>
        <w:tab/>
      </w:r>
      <w:r w:rsidRPr="00BA2D6B">
        <w:rPr>
          <w:rFonts w:eastAsia="Calibri"/>
          <w:i/>
          <w:szCs w:val="20"/>
          <w:lang w:eastAsia="en-US"/>
        </w:rPr>
        <w:t>Struttura e dinamica finanziaria d'impresa</w:t>
      </w:r>
      <w:r w:rsidRPr="00BA2D6B">
        <w:rPr>
          <w:rFonts w:eastAsia="Calibri"/>
          <w:szCs w:val="20"/>
          <w:lang w:eastAsia="en-US"/>
        </w:rPr>
        <w:t>. Lo stato patrimoniale condensato. I flussi finanziari come elementi causanti la variazione della struttura finanziaria dell'impresa. La nozione di CCN operativo; i flussi di CCN operativo.</w:t>
      </w:r>
    </w:p>
    <w:p w14:paraId="4CABECE3" w14:textId="77777777" w:rsidR="00257104" w:rsidRPr="00BA2D6B" w:rsidRDefault="00257104" w:rsidP="00257104">
      <w:pPr>
        <w:tabs>
          <w:tab w:val="clear" w:pos="284"/>
        </w:tabs>
        <w:ind w:left="284" w:hanging="284"/>
        <w:rPr>
          <w:rFonts w:eastAsia="Calibri"/>
          <w:szCs w:val="20"/>
          <w:lang w:eastAsia="en-US"/>
        </w:rPr>
      </w:pPr>
      <w:r w:rsidRPr="00BA2D6B">
        <w:rPr>
          <w:rFonts w:eastAsia="Calibri"/>
          <w:szCs w:val="20"/>
          <w:lang w:eastAsia="en-US"/>
        </w:rPr>
        <w:t>4.</w:t>
      </w:r>
      <w:r w:rsidRPr="00BA2D6B">
        <w:rPr>
          <w:rFonts w:eastAsia="Calibri"/>
          <w:szCs w:val="20"/>
          <w:lang w:eastAsia="en-US"/>
        </w:rPr>
        <w:tab/>
      </w:r>
      <w:r w:rsidRPr="00BA2D6B">
        <w:rPr>
          <w:rFonts w:eastAsia="Calibri"/>
          <w:i/>
          <w:szCs w:val="20"/>
          <w:lang w:eastAsia="en-US"/>
        </w:rPr>
        <w:t>Le determinanti del valore dell'impresa</w:t>
      </w:r>
      <w:r w:rsidRPr="00BA2D6B">
        <w:rPr>
          <w:rFonts w:eastAsia="Calibri"/>
          <w:szCs w:val="20"/>
          <w:lang w:eastAsia="en-US"/>
        </w:rPr>
        <w:t>. La valutazione dell'impresa non indebitata. Rischio, rendimento richiesto e valutazione del capitale d'impresa. Il concetto di efficienza informativa dei mercati finanziari.</w:t>
      </w:r>
    </w:p>
    <w:p w14:paraId="7AAB9A4D" w14:textId="77777777" w:rsidR="00257104" w:rsidRPr="00BA2D6B" w:rsidRDefault="00257104" w:rsidP="00257104">
      <w:pPr>
        <w:tabs>
          <w:tab w:val="clear" w:pos="284"/>
        </w:tabs>
        <w:ind w:left="284" w:hanging="284"/>
        <w:rPr>
          <w:rFonts w:eastAsia="Calibri"/>
          <w:szCs w:val="20"/>
          <w:lang w:eastAsia="en-US"/>
        </w:rPr>
      </w:pPr>
      <w:r w:rsidRPr="00BA2D6B">
        <w:rPr>
          <w:rFonts w:eastAsia="Calibri"/>
          <w:szCs w:val="20"/>
          <w:lang w:eastAsia="en-US"/>
        </w:rPr>
        <w:t>5.</w:t>
      </w:r>
      <w:r w:rsidRPr="00BA2D6B">
        <w:rPr>
          <w:rFonts w:eastAsia="Calibri"/>
          <w:szCs w:val="20"/>
          <w:lang w:eastAsia="en-US"/>
        </w:rPr>
        <w:tab/>
      </w:r>
      <w:r w:rsidRPr="00BA2D6B">
        <w:rPr>
          <w:rFonts w:eastAsia="Calibri"/>
          <w:i/>
          <w:szCs w:val="20"/>
          <w:lang w:eastAsia="en-US"/>
        </w:rPr>
        <w:t>Gli effetti della scelta debito/mezzi propri per l'economia dell'impresa e per la sua valutazione</w:t>
      </w:r>
      <w:r w:rsidRPr="00BA2D6B">
        <w:rPr>
          <w:rFonts w:eastAsia="Calibri"/>
          <w:szCs w:val="20"/>
          <w:lang w:eastAsia="en-US"/>
        </w:rPr>
        <w:t xml:space="preserve">. I teoremi Modigliani-Miller e le loro implicazioni per la valutazione dell'impresa. </w:t>
      </w:r>
    </w:p>
    <w:p w14:paraId="244B7403" w14:textId="77777777" w:rsidR="00257104" w:rsidRPr="00BA2D6B" w:rsidRDefault="00257104" w:rsidP="00257104">
      <w:pPr>
        <w:tabs>
          <w:tab w:val="clear" w:pos="284"/>
        </w:tabs>
        <w:ind w:left="284" w:hanging="284"/>
        <w:rPr>
          <w:rFonts w:eastAsia="Calibri"/>
          <w:szCs w:val="20"/>
          <w:lang w:eastAsia="en-US"/>
        </w:rPr>
      </w:pPr>
      <w:r w:rsidRPr="00BA2D6B">
        <w:rPr>
          <w:rFonts w:eastAsia="Calibri"/>
          <w:szCs w:val="20"/>
          <w:lang w:eastAsia="en-US"/>
        </w:rPr>
        <w:lastRenderedPageBreak/>
        <w:t>6.</w:t>
      </w:r>
      <w:r w:rsidRPr="00BA2D6B">
        <w:rPr>
          <w:rFonts w:eastAsia="Calibri"/>
          <w:szCs w:val="20"/>
          <w:lang w:eastAsia="en-US"/>
        </w:rPr>
        <w:tab/>
      </w:r>
      <w:r w:rsidRPr="00BA2D6B">
        <w:rPr>
          <w:rFonts w:eastAsia="Calibri"/>
          <w:i/>
          <w:szCs w:val="20"/>
          <w:lang w:eastAsia="en-US"/>
        </w:rPr>
        <w:t>La coerenza tra flussi e tassi nei processi di valutazione</w:t>
      </w:r>
      <w:r w:rsidRPr="00BA2D6B">
        <w:rPr>
          <w:rFonts w:eastAsia="Calibri"/>
          <w:szCs w:val="20"/>
          <w:lang w:eastAsia="en-US"/>
        </w:rPr>
        <w:t>. Il tasso di rendimento impiegato nel calcolo del VAN (la nozione di WACC). Interdipendenza tra decisioni di finanziamento e valore delle decisioni di investimento (metodologie del VAM, WACC e FTE).</w:t>
      </w:r>
    </w:p>
    <w:p w14:paraId="7DAE4A43" w14:textId="6F92B2AE" w:rsidR="00257104" w:rsidRPr="00EA24BB" w:rsidRDefault="00257104" w:rsidP="00257104">
      <w:pPr>
        <w:spacing w:before="240" w:after="120" w:line="220" w:lineRule="exact"/>
        <w:rPr>
          <w:b/>
          <w:i/>
          <w:noProof/>
          <w:sz w:val="18"/>
          <w:szCs w:val="18"/>
        </w:rPr>
      </w:pPr>
      <w:r w:rsidRPr="00EA24BB">
        <w:rPr>
          <w:b/>
          <w:i/>
          <w:noProof/>
          <w:sz w:val="18"/>
          <w:szCs w:val="18"/>
        </w:rPr>
        <w:t>BIBLIOGRAFIA</w:t>
      </w:r>
      <w:r w:rsidR="00396701">
        <w:rPr>
          <w:rStyle w:val="Rimandonotaapidipagina"/>
          <w:b/>
          <w:i/>
          <w:noProof/>
          <w:sz w:val="18"/>
          <w:szCs w:val="18"/>
        </w:rPr>
        <w:footnoteReference w:id="1"/>
      </w:r>
    </w:p>
    <w:p w14:paraId="2263EEDE" w14:textId="0ECADB8B" w:rsidR="00257104" w:rsidRPr="00396701" w:rsidRDefault="00257104" w:rsidP="00257104">
      <w:pPr>
        <w:tabs>
          <w:tab w:val="clear" w:pos="284"/>
        </w:tabs>
        <w:spacing w:line="240" w:lineRule="atLeast"/>
        <w:ind w:left="284" w:hanging="284"/>
        <w:rPr>
          <w:noProof/>
          <w:spacing w:val="-5"/>
          <w:sz w:val="18"/>
          <w:szCs w:val="18"/>
        </w:rPr>
      </w:pPr>
      <w:r w:rsidRPr="00BA2D6B">
        <w:rPr>
          <w:smallCaps/>
          <w:noProof/>
          <w:spacing w:val="-5"/>
          <w:sz w:val="16"/>
          <w:szCs w:val="18"/>
        </w:rPr>
        <w:t xml:space="preserve">S. Ross-D. Hillier-R. </w:t>
      </w:r>
      <w:r w:rsidRPr="00EA24BB">
        <w:rPr>
          <w:smallCaps/>
          <w:noProof/>
          <w:spacing w:val="-5"/>
          <w:sz w:val="16"/>
          <w:szCs w:val="18"/>
          <w:lang w:val="en-US"/>
        </w:rPr>
        <w:t xml:space="preserve">Westerfield-J. Jaffe-B. </w:t>
      </w:r>
      <w:r w:rsidRPr="00396701">
        <w:rPr>
          <w:smallCaps/>
          <w:noProof/>
          <w:spacing w:val="-5"/>
          <w:sz w:val="16"/>
          <w:szCs w:val="18"/>
        </w:rPr>
        <w:t>Jordan</w:t>
      </w:r>
      <w:r w:rsidRPr="00396701">
        <w:rPr>
          <w:smallCaps/>
          <w:noProof/>
          <w:spacing w:val="-5"/>
          <w:sz w:val="18"/>
          <w:szCs w:val="18"/>
        </w:rPr>
        <w:t>,</w:t>
      </w:r>
      <w:r w:rsidRPr="00396701">
        <w:rPr>
          <w:i/>
          <w:noProof/>
          <w:spacing w:val="-5"/>
          <w:sz w:val="18"/>
          <w:szCs w:val="18"/>
        </w:rPr>
        <w:t xml:space="preserve"> Corporate finance,</w:t>
      </w:r>
      <w:r w:rsidRPr="00396701">
        <w:rPr>
          <w:noProof/>
          <w:spacing w:val="-5"/>
          <w:sz w:val="18"/>
          <w:szCs w:val="18"/>
        </w:rPr>
        <w:t xml:space="preserve"> 3/e, McGraw Hill Italia, 2018.  </w:t>
      </w:r>
      <w:r w:rsidR="00396701" w:rsidRPr="00396701">
        <w:rPr>
          <w:noProof/>
          <w:spacing w:val="-5"/>
          <w:sz w:val="18"/>
          <w:szCs w:val="18"/>
        </w:rPr>
        <w:t xml:space="preserve"> </w:t>
      </w:r>
      <w:hyperlink r:id="rId8" w:history="1">
        <w:r w:rsidR="00396701" w:rsidRPr="00396701">
          <w:rPr>
            <w:rStyle w:val="Collegamentoipertestuale"/>
            <w:i/>
            <w:sz w:val="16"/>
            <w:szCs w:val="16"/>
          </w:rPr>
          <w:t>Acquista da VP</w:t>
        </w:r>
      </w:hyperlink>
      <w:bookmarkStart w:id="0" w:name="_GoBack"/>
      <w:bookmarkEnd w:id="0"/>
    </w:p>
    <w:p w14:paraId="6ECF7E4E" w14:textId="1696AE56" w:rsidR="00257104" w:rsidRPr="00EA24BB" w:rsidRDefault="00257104" w:rsidP="00257104">
      <w:pPr>
        <w:tabs>
          <w:tab w:val="clear" w:pos="284"/>
        </w:tabs>
        <w:spacing w:line="240" w:lineRule="atLeast"/>
        <w:ind w:left="284" w:hanging="284"/>
        <w:rPr>
          <w:noProof/>
          <w:sz w:val="18"/>
          <w:szCs w:val="18"/>
        </w:rPr>
      </w:pPr>
      <w:r w:rsidRPr="00EA24BB">
        <w:rPr>
          <w:i/>
          <w:noProof/>
          <w:sz w:val="18"/>
          <w:szCs w:val="18"/>
        </w:rPr>
        <w:t>Dispense di Finanza aziendale,</w:t>
      </w:r>
      <w:r w:rsidRPr="00EA24BB">
        <w:rPr>
          <w:noProof/>
          <w:sz w:val="18"/>
          <w:szCs w:val="18"/>
        </w:rPr>
        <w:t xml:space="preserve"> EDUCatt, Milano, ultima edizione disponibile. </w:t>
      </w:r>
      <w:r w:rsidR="00396701">
        <w:rPr>
          <w:noProof/>
          <w:sz w:val="18"/>
          <w:szCs w:val="18"/>
        </w:rPr>
        <w:t xml:space="preserve"> </w:t>
      </w:r>
      <w:hyperlink r:id="rId9" w:history="1">
        <w:r w:rsidR="00396701" w:rsidRPr="00396701">
          <w:rPr>
            <w:rStyle w:val="Collegamentoipertestuale"/>
            <w:i/>
            <w:sz w:val="16"/>
            <w:szCs w:val="16"/>
          </w:rPr>
          <w:t>Acquista da VP</w:t>
        </w:r>
      </w:hyperlink>
    </w:p>
    <w:p w14:paraId="292D775D" w14:textId="77777777" w:rsidR="00257104" w:rsidRPr="00EA24BB" w:rsidRDefault="00257104" w:rsidP="00257104">
      <w:pPr>
        <w:spacing w:before="240" w:after="120" w:line="220" w:lineRule="exact"/>
        <w:rPr>
          <w:b/>
          <w:i/>
          <w:noProof/>
          <w:sz w:val="18"/>
          <w:szCs w:val="18"/>
        </w:rPr>
      </w:pPr>
      <w:r w:rsidRPr="00EA24BB">
        <w:rPr>
          <w:b/>
          <w:i/>
          <w:noProof/>
          <w:sz w:val="18"/>
          <w:szCs w:val="18"/>
        </w:rPr>
        <w:t>DIDATTICA DEL CORSO</w:t>
      </w:r>
    </w:p>
    <w:p w14:paraId="5048FC88" w14:textId="77777777" w:rsidR="00257104" w:rsidRPr="00EA24BB" w:rsidRDefault="00257104" w:rsidP="00257104">
      <w:pPr>
        <w:tabs>
          <w:tab w:val="clear" w:pos="284"/>
        </w:tabs>
        <w:spacing w:line="220" w:lineRule="exact"/>
        <w:ind w:firstLine="284"/>
        <w:rPr>
          <w:noProof/>
          <w:sz w:val="18"/>
          <w:szCs w:val="18"/>
        </w:rPr>
      </w:pPr>
      <w:r w:rsidRPr="00EA24BB">
        <w:rPr>
          <w:noProof/>
          <w:sz w:val="18"/>
          <w:szCs w:val="18"/>
        </w:rPr>
        <w:t xml:space="preserve">Lezioni frontali (60 ore, articolate su 6 ore x 10 settimane). Le lezioni includono presentazioni di carattere teorico ed esercitazioni dirette a mostrarne le applicazioni pratiche. </w:t>
      </w:r>
    </w:p>
    <w:p w14:paraId="1B0CCDC4" w14:textId="77777777" w:rsidR="00257104" w:rsidRPr="00EA24BB" w:rsidRDefault="00257104" w:rsidP="00257104">
      <w:pPr>
        <w:spacing w:before="240" w:after="120" w:line="220" w:lineRule="exact"/>
        <w:rPr>
          <w:b/>
          <w:i/>
          <w:noProof/>
          <w:sz w:val="18"/>
          <w:szCs w:val="18"/>
        </w:rPr>
      </w:pPr>
      <w:r w:rsidRPr="00EA24BB">
        <w:rPr>
          <w:b/>
          <w:i/>
          <w:noProof/>
          <w:sz w:val="18"/>
          <w:szCs w:val="18"/>
        </w:rPr>
        <w:t>METODO E CRITERI DI VALUTAZIONE</w:t>
      </w:r>
    </w:p>
    <w:p w14:paraId="553EA24E" w14:textId="77777777" w:rsidR="00257104" w:rsidRPr="00EA24BB" w:rsidRDefault="00257104" w:rsidP="00257104">
      <w:pPr>
        <w:pStyle w:val="Testo2"/>
      </w:pPr>
      <w:r w:rsidRPr="00EA24BB">
        <w:t xml:space="preserve">L’esame è basato su una prova scritta, </w:t>
      </w:r>
      <w:r w:rsidR="00340250">
        <w:t>da sostenere negli appelli ufficiali.</w:t>
      </w:r>
      <w:r w:rsidRPr="00EA24BB">
        <w:t xml:space="preserve"> </w:t>
      </w:r>
    </w:p>
    <w:p w14:paraId="5EE57CD3" w14:textId="77777777" w:rsidR="00257104" w:rsidRPr="00EA24BB" w:rsidRDefault="00257104" w:rsidP="00257104">
      <w:pPr>
        <w:tabs>
          <w:tab w:val="clear" w:pos="284"/>
        </w:tabs>
        <w:spacing w:before="240" w:after="120"/>
        <w:rPr>
          <w:rFonts w:eastAsia="Calibri"/>
          <w:b/>
          <w:i/>
          <w:sz w:val="18"/>
          <w:szCs w:val="18"/>
          <w:lang w:eastAsia="en-US"/>
        </w:rPr>
      </w:pPr>
      <w:r w:rsidRPr="00EA24BB">
        <w:rPr>
          <w:rFonts w:eastAsia="Calibri"/>
          <w:b/>
          <w:i/>
          <w:sz w:val="18"/>
          <w:szCs w:val="18"/>
          <w:lang w:eastAsia="en-US"/>
        </w:rPr>
        <w:t>AVVERTENZE E PREREQUISITI</w:t>
      </w:r>
    </w:p>
    <w:p w14:paraId="24F29979" w14:textId="77777777" w:rsidR="00257104" w:rsidRPr="00EA24BB" w:rsidRDefault="00257104" w:rsidP="00257104">
      <w:pPr>
        <w:tabs>
          <w:tab w:val="clear" w:pos="284"/>
        </w:tabs>
        <w:rPr>
          <w:i/>
          <w:noProof/>
          <w:sz w:val="18"/>
          <w:szCs w:val="18"/>
        </w:rPr>
      </w:pPr>
      <w:r w:rsidRPr="00EA24BB">
        <w:rPr>
          <w:i/>
          <w:noProof/>
          <w:sz w:val="18"/>
          <w:szCs w:val="18"/>
        </w:rPr>
        <w:t>Prerequisiti</w:t>
      </w:r>
    </w:p>
    <w:p w14:paraId="09F6833D" w14:textId="77777777" w:rsidR="00257104" w:rsidRPr="00EA24BB" w:rsidRDefault="00257104" w:rsidP="00257104">
      <w:pPr>
        <w:tabs>
          <w:tab w:val="clear" w:pos="284"/>
        </w:tabs>
        <w:spacing w:line="220" w:lineRule="exact"/>
        <w:ind w:firstLine="284"/>
        <w:rPr>
          <w:noProof/>
          <w:sz w:val="18"/>
          <w:szCs w:val="18"/>
        </w:rPr>
      </w:pPr>
      <w:r w:rsidRPr="00EA24BB">
        <w:rPr>
          <w:noProof/>
          <w:sz w:val="18"/>
          <w:szCs w:val="18"/>
        </w:rPr>
        <w:t>Il corso di Finanza Aziendale prevede l’uso di concetti e strumenti analitici oggetto di trattazione in corsi precedenti che lo studente deve possedere per poter proficuamente seguire le lezioni. Si consiglia pertanto di frequentare il corso avendo già sufficienti conoscenze del programma dei corsi fondamentali dei primi tre semestri e, in particolare, di Metodologie e Determinazioni Quantitative d’Azienda e di Statistica I.</w:t>
      </w:r>
    </w:p>
    <w:p w14:paraId="51156B30" w14:textId="77777777" w:rsidR="00257104" w:rsidRPr="00EA24BB" w:rsidRDefault="00257104" w:rsidP="00257104">
      <w:pPr>
        <w:tabs>
          <w:tab w:val="clear" w:pos="284"/>
        </w:tabs>
        <w:rPr>
          <w:i/>
          <w:noProof/>
          <w:sz w:val="18"/>
          <w:szCs w:val="18"/>
        </w:rPr>
      </w:pPr>
      <w:r w:rsidRPr="00EA24BB">
        <w:rPr>
          <w:i/>
          <w:noProof/>
          <w:sz w:val="18"/>
          <w:szCs w:val="18"/>
        </w:rPr>
        <w:t>Avvertenze</w:t>
      </w:r>
    </w:p>
    <w:p w14:paraId="3DBDFAD6" w14:textId="77777777" w:rsidR="00257104" w:rsidRPr="00EA24BB" w:rsidRDefault="00257104" w:rsidP="00257104">
      <w:pPr>
        <w:tabs>
          <w:tab w:val="clear" w:pos="284"/>
        </w:tabs>
        <w:spacing w:line="220" w:lineRule="exact"/>
        <w:ind w:firstLine="284"/>
        <w:rPr>
          <w:noProof/>
          <w:sz w:val="18"/>
          <w:szCs w:val="18"/>
        </w:rPr>
      </w:pPr>
      <w:r w:rsidRPr="00EA24BB">
        <w:rPr>
          <w:noProof/>
          <w:sz w:val="18"/>
          <w:szCs w:val="18"/>
        </w:rPr>
        <w:t>Una frequenza assidua alle lezioni, accompagnata da studio graduale (e dallo svolgimento degli esercizi segnalati a lezione), rende assai più facile l’apprendimento e il superamento dell’esame. Gli studenti sono vivamente invitati a tenere conto di tale fatto nella programmazione delle proprie attività di studio.</w:t>
      </w:r>
    </w:p>
    <w:p w14:paraId="3C4CBAE2" w14:textId="77777777" w:rsidR="00257104" w:rsidRPr="00EA24BB" w:rsidRDefault="00257104" w:rsidP="00257104">
      <w:pPr>
        <w:tabs>
          <w:tab w:val="clear" w:pos="284"/>
        </w:tabs>
        <w:spacing w:line="220" w:lineRule="exact"/>
        <w:ind w:firstLine="284"/>
        <w:rPr>
          <w:noProof/>
          <w:sz w:val="18"/>
          <w:szCs w:val="18"/>
        </w:rPr>
      </w:pPr>
      <w:r w:rsidRPr="00EA24BB">
        <w:rPr>
          <w:noProof/>
          <w:sz w:val="18"/>
          <w:szCs w:val="18"/>
        </w:rPr>
        <w:t xml:space="preserve">Materiale di supporto inclusivo dei più recenti temi d’esame (con tracce di soluzione) è disponibile su </w:t>
      </w:r>
      <w:r w:rsidRPr="00EA24BB">
        <w:rPr>
          <w:i/>
          <w:noProof/>
          <w:sz w:val="18"/>
          <w:szCs w:val="18"/>
        </w:rPr>
        <w:t>Blackboard</w:t>
      </w:r>
      <w:r w:rsidRPr="00EA24BB">
        <w:rPr>
          <w:noProof/>
          <w:sz w:val="18"/>
          <w:szCs w:val="18"/>
        </w:rPr>
        <w:t>.</w:t>
      </w:r>
    </w:p>
    <w:sectPr w:rsidR="00257104" w:rsidRPr="00EA24B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57B51" w14:textId="77777777" w:rsidR="003D5CD2" w:rsidRDefault="003D5CD2" w:rsidP="00257104">
      <w:pPr>
        <w:spacing w:line="240" w:lineRule="auto"/>
      </w:pPr>
      <w:r>
        <w:separator/>
      </w:r>
    </w:p>
  </w:endnote>
  <w:endnote w:type="continuationSeparator" w:id="0">
    <w:p w14:paraId="14086466" w14:textId="77777777" w:rsidR="003D5CD2" w:rsidRDefault="003D5CD2" w:rsidP="00257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A5374" w14:textId="77777777" w:rsidR="003D5CD2" w:rsidRDefault="003D5CD2" w:rsidP="00257104">
      <w:pPr>
        <w:spacing w:line="240" w:lineRule="auto"/>
      </w:pPr>
      <w:r>
        <w:separator/>
      </w:r>
    </w:p>
  </w:footnote>
  <w:footnote w:type="continuationSeparator" w:id="0">
    <w:p w14:paraId="3EDD1036" w14:textId="77777777" w:rsidR="003D5CD2" w:rsidRDefault="003D5CD2" w:rsidP="00257104">
      <w:pPr>
        <w:spacing w:line="240" w:lineRule="auto"/>
      </w:pPr>
      <w:r>
        <w:continuationSeparator/>
      </w:r>
    </w:p>
  </w:footnote>
  <w:footnote w:id="1">
    <w:p w14:paraId="69DDAEBA" w14:textId="07FEC3DD" w:rsidR="00396701" w:rsidRDefault="0039670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0348A"/>
    <w:rsid w:val="00187B99"/>
    <w:rsid w:val="0020113A"/>
    <w:rsid w:val="002014DD"/>
    <w:rsid w:val="00257104"/>
    <w:rsid w:val="002C7CA5"/>
    <w:rsid w:val="00321792"/>
    <w:rsid w:val="00340250"/>
    <w:rsid w:val="0036469A"/>
    <w:rsid w:val="00396701"/>
    <w:rsid w:val="003D5CD2"/>
    <w:rsid w:val="00461002"/>
    <w:rsid w:val="004D1217"/>
    <w:rsid w:val="004D6008"/>
    <w:rsid w:val="005027BA"/>
    <w:rsid w:val="00522E41"/>
    <w:rsid w:val="00570DA9"/>
    <w:rsid w:val="006656CB"/>
    <w:rsid w:val="006F1772"/>
    <w:rsid w:val="007C300F"/>
    <w:rsid w:val="007F3F95"/>
    <w:rsid w:val="008A1204"/>
    <w:rsid w:val="008A7730"/>
    <w:rsid w:val="00900CCA"/>
    <w:rsid w:val="00924B77"/>
    <w:rsid w:val="00940DA2"/>
    <w:rsid w:val="009856E8"/>
    <w:rsid w:val="00987FDE"/>
    <w:rsid w:val="009C3782"/>
    <w:rsid w:val="009E055C"/>
    <w:rsid w:val="00A74F6F"/>
    <w:rsid w:val="00AD1E0E"/>
    <w:rsid w:val="00AD7557"/>
    <w:rsid w:val="00B23C43"/>
    <w:rsid w:val="00B51253"/>
    <w:rsid w:val="00B525CC"/>
    <w:rsid w:val="00BA2D6B"/>
    <w:rsid w:val="00C6356B"/>
    <w:rsid w:val="00C974F8"/>
    <w:rsid w:val="00D404F2"/>
    <w:rsid w:val="00DB7682"/>
    <w:rsid w:val="00E607E6"/>
    <w:rsid w:val="00FF26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E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C974F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C974F8"/>
    <w:rPr>
      <w:rFonts w:ascii="Tahoma" w:hAnsi="Tahoma" w:cs="Tahoma"/>
      <w:sz w:val="16"/>
      <w:szCs w:val="16"/>
    </w:rPr>
  </w:style>
  <w:style w:type="paragraph" w:styleId="Testonotaapidipagina">
    <w:name w:val="footnote text"/>
    <w:basedOn w:val="Normale"/>
    <w:link w:val="TestonotaapidipaginaCarattere"/>
    <w:semiHidden/>
    <w:unhideWhenUsed/>
    <w:rsid w:val="0025710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57104"/>
  </w:style>
  <w:style w:type="character" w:styleId="Rimandonotaapidipagina">
    <w:name w:val="footnote reference"/>
    <w:basedOn w:val="Carpredefinitoparagrafo"/>
    <w:semiHidden/>
    <w:unhideWhenUsed/>
    <w:rsid w:val="00257104"/>
    <w:rPr>
      <w:vertAlign w:val="superscript"/>
    </w:rPr>
  </w:style>
  <w:style w:type="character" w:styleId="Collegamentoipertestuale">
    <w:name w:val="Hyperlink"/>
    <w:basedOn w:val="Carpredefinitoparagrafo"/>
    <w:unhideWhenUsed/>
    <w:rsid w:val="00257104"/>
    <w:rPr>
      <w:color w:val="0000FF" w:themeColor="hyperlink"/>
      <w:u w:val="single"/>
    </w:rPr>
  </w:style>
  <w:style w:type="character" w:styleId="Collegamentovisitato">
    <w:name w:val="FollowedHyperlink"/>
    <w:basedOn w:val="Carpredefinitoparagrafo"/>
    <w:semiHidden/>
    <w:unhideWhenUsed/>
    <w:rsid w:val="003646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C974F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C974F8"/>
    <w:rPr>
      <w:rFonts w:ascii="Tahoma" w:hAnsi="Tahoma" w:cs="Tahoma"/>
      <w:sz w:val="16"/>
      <w:szCs w:val="16"/>
    </w:rPr>
  </w:style>
  <w:style w:type="paragraph" w:styleId="Testonotaapidipagina">
    <w:name w:val="footnote text"/>
    <w:basedOn w:val="Normale"/>
    <w:link w:val="TestonotaapidipaginaCarattere"/>
    <w:semiHidden/>
    <w:unhideWhenUsed/>
    <w:rsid w:val="0025710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57104"/>
  </w:style>
  <w:style w:type="character" w:styleId="Rimandonotaapidipagina">
    <w:name w:val="footnote reference"/>
    <w:basedOn w:val="Carpredefinitoparagrafo"/>
    <w:semiHidden/>
    <w:unhideWhenUsed/>
    <w:rsid w:val="00257104"/>
    <w:rPr>
      <w:vertAlign w:val="superscript"/>
    </w:rPr>
  </w:style>
  <w:style w:type="character" w:styleId="Collegamentoipertestuale">
    <w:name w:val="Hyperlink"/>
    <w:basedOn w:val="Carpredefinitoparagrafo"/>
    <w:unhideWhenUsed/>
    <w:rsid w:val="00257104"/>
    <w:rPr>
      <w:color w:val="0000FF" w:themeColor="hyperlink"/>
      <w:u w:val="single"/>
    </w:rPr>
  </w:style>
  <w:style w:type="character" w:styleId="Collegamentovisitato">
    <w:name w:val="FollowedHyperlink"/>
    <w:basedOn w:val="Carpredefinitoparagrafo"/>
    <w:semiHidden/>
    <w:unhideWhenUsed/>
    <w:rsid w:val="003646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tephen-a-ross/corporate-finance-connect-bundle-con-contenuto-digitale-per-download-e-accesso-on-line-9788838694738-54968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belcredi-massimo-rigamonti-silvia/dispense-di-finanza-aziendale-8881020000469-687410.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F3732-FFF5-4B55-84F4-434C6861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3802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2003-03-27T09:42:00Z</cp:lastPrinted>
  <dcterms:created xsi:type="dcterms:W3CDTF">2022-04-27T15:50:00Z</dcterms:created>
  <dcterms:modified xsi:type="dcterms:W3CDTF">2022-07-26T12:24:00Z</dcterms:modified>
</cp:coreProperties>
</file>