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8778" w14:textId="77777777" w:rsidR="00E00B4E" w:rsidRPr="00E00B4E" w:rsidRDefault="00E00B4E" w:rsidP="00555B98">
      <w:pPr>
        <w:pStyle w:val="Titolo1"/>
        <w:ind w:left="0" w:firstLine="0"/>
      </w:pPr>
      <w:r w:rsidRPr="00E00B4E">
        <w:t>Metodologie e determ</w:t>
      </w:r>
      <w:r>
        <w:t xml:space="preserve">inazioni quantitative d’azienda </w:t>
      </w:r>
      <w:r w:rsidRPr="00E00B4E">
        <w:t>(le valutazioni basate sugli IFRS)</w:t>
      </w:r>
    </w:p>
    <w:p w14:paraId="6373F12D" w14:textId="77777777" w:rsidR="00E00B4E" w:rsidRPr="00E00B4E" w:rsidRDefault="00E00B4E" w:rsidP="00E00B4E">
      <w:pPr>
        <w:pStyle w:val="Titolo2"/>
      </w:pPr>
      <w:r w:rsidRPr="00E00B4E">
        <w:t>Prof. Mario Gozzetti; Prof. Alberto Romeo</w:t>
      </w:r>
    </w:p>
    <w:p w14:paraId="71F84720" w14:textId="77777777" w:rsidR="002D5E17" w:rsidRDefault="00E00B4E" w:rsidP="00E00B4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CCD9986" w14:textId="77777777" w:rsidR="00E00B4E" w:rsidRPr="00E00B4E" w:rsidRDefault="00E00B4E" w:rsidP="00DB4C78">
      <w:pPr>
        <w:spacing w:line="240" w:lineRule="exact"/>
      </w:pPr>
      <w:r w:rsidRPr="00E00B4E">
        <w:rPr>
          <w:szCs w:val="20"/>
        </w:rPr>
        <w:t>L’</w:t>
      </w:r>
      <w:r w:rsidR="00DB4C78">
        <w:rPr>
          <w:szCs w:val="20"/>
        </w:rPr>
        <w:t>obiettivo prioritario del corso</w:t>
      </w:r>
      <w:r w:rsidRPr="00E00B4E">
        <w:t xml:space="preserve"> di Metodologie e determinazioni quantitative d’azienda International accounting - valutazioni basate sugli IFRS è in generale il consolidamento della conoscenza delle regole contabili applicate nella redazione di bilanci in conformità a IAS/IFRS, sviluppando l’attitudine dello studente alla consultazione delle fonti normative, all’applicazione delle regole stesse, all’appropriata lettura ed interpretazione delle prassi applicative, principalmente nel settore industriale nonché alla discussione </w:t>
      </w:r>
      <w:r w:rsidRPr="00E00B4E">
        <w:rPr>
          <w:szCs w:val="20"/>
        </w:rPr>
        <w:t>con linguaggio appropriato, autonomia concettuale e spirito critico dei riflessi in bilancio derivanti dalle peculiarità applicative di ciascun principio oggetto di analisi</w:t>
      </w:r>
      <w:r w:rsidRPr="00E00B4E">
        <w:t xml:space="preserve">. </w:t>
      </w:r>
    </w:p>
    <w:p w14:paraId="5687901B" w14:textId="77777777" w:rsidR="00E00B4E" w:rsidRPr="00E00B4E" w:rsidRDefault="00E00B4E" w:rsidP="00DB4C78">
      <w:pPr>
        <w:spacing w:before="120" w:line="240" w:lineRule="exact"/>
      </w:pPr>
      <w:r w:rsidRPr="00E00B4E">
        <w:t>Tale obiettivo è perseguito attraverso il completamento e l’approfondimento della conoscenza di alcuni principi contabili internazionali, selezionati in quanto di più frequente applicazione, attraverso l’analisi teorica di ciascuna regola contabile, la discussione delle sue complessità interpretative e della sua applicazione attraverso l’illustrazione di casi di studio e di esperienze professionali maturate dai docenti ovvero tramite analisi critica degli approcci seguiti da p</w:t>
      </w:r>
      <w:r w:rsidR="00555B98">
        <w:t>rimari gruppi IAS Adopter nonché</w:t>
      </w:r>
      <w:r w:rsidRPr="00E00B4E">
        <w:t xml:space="preserve"> l’applicazione degli stessi nell’ambito delle operazioni di acquisizione e delle altre operazioni straordinarie. </w:t>
      </w:r>
    </w:p>
    <w:p w14:paraId="29B04143" w14:textId="77777777" w:rsidR="00E00B4E" w:rsidRPr="00E00B4E" w:rsidRDefault="00E00B4E" w:rsidP="00DB4C78">
      <w:pPr>
        <w:pStyle w:val="NormaleWeb"/>
        <w:spacing w:before="120" w:beforeAutospacing="0" w:after="0" w:afterAutospacing="0" w:line="240" w:lineRule="exact"/>
        <w:jc w:val="both"/>
        <w:rPr>
          <w:sz w:val="20"/>
          <w:szCs w:val="20"/>
        </w:rPr>
      </w:pPr>
      <w:r w:rsidRPr="00E00B4E">
        <w:rPr>
          <w:sz w:val="20"/>
          <w:szCs w:val="20"/>
        </w:rPr>
        <w:t>Al termine lo studente:</w:t>
      </w:r>
    </w:p>
    <w:p w14:paraId="69C47EEE" w14:textId="77777777" w:rsidR="00E00B4E" w:rsidRPr="00E00B4E" w:rsidRDefault="00DB4C78" w:rsidP="00DB4C78">
      <w:pPr>
        <w:pStyle w:val="NormaleWeb"/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E00B4E" w:rsidRPr="00E00B4E">
        <w:rPr>
          <w:sz w:val="20"/>
          <w:szCs w:val="20"/>
        </w:rPr>
        <w:tab/>
        <w:t xml:space="preserve">avrà consolidato la conoscenza dei principali IAS/IFRS e la capacità di ricerca e lettura delle fonti ed avrà sviluppato la capacità di illustrarne le complessità applicative; </w:t>
      </w:r>
    </w:p>
    <w:p w14:paraId="32465744" w14:textId="77777777" w:rsidR="00E00B4E" w:rsidRPr="00555B98" w:rsidRDefault="00E00B4E" w:rsidP="00DB4C78">
      <w:pPr>
        <w:tabs>
          <w:tab w:val="left" w:pos="708"/>
        </w:tabs>
        <w:autoSpaceDE w:val="0"/>
        <w:autoSpaceDN w:val="0"/>
        <w:adjustRightInd w:val="0"/>
        <w:spacing w:line="240" w:lineRule="exact"/>
        <w:ind w:left="284" w:hanging="284"/>
        <w:rPr>
          <w:rFonts w:eastAsiaTheme="minorHAnsi"/>
        </w:rPr>
      </w:pPr>
      <w:r w:rsidRPr="00E00B4E">
        <w:rPr>
          <w:rFonts w:eastAsiaTheme="minorHAnsi"/>
        </w:rPr>
        <w:t>2.</w:t>
      </w:r>
      <w:r w:rsidRPr="00E00B4E">
        <w:rPr>
          <w:rFonts w:eastAsiaTheme="minorHAnsi"/>
        </w:rPr>
        <w:tab/>
        <w:t>saprà applicare le conoscenze acquisite a fattispecie pratiche, descrivendo, con appropriatezza di linguaggio e focalizzazione sugli elementi caratterizzanti della regola generale rispetto alla fattispecie, le modalità di applicazione ed i potenziali riflessi contabili e di bilancio;</w:t>
      </w:r>
    </w:p>
    <w:p w14:paraId="4F8E8745" w14:textId="77777777" w:rsidR="00E00B4E" w:rsidRPr="00E00B4E" w:rsidRDefault="00E00B4E" w:rsidP="00DB4C78">
      <w:pPr>
        <w:tabs>
          <w:tab w:val="left" w:pos="708"/>
        </w:tabs>
        <w:autoSpaceDE w:val="0"/>
        <w:autoSpaceDN w:val="0"/>
        <w:adjustRightInd w:val="0"/>
        <w:spacing w:line="240" w:lineRule="exact"/>
        <w:ind w:left="284" w:hanging="284"/>
        <w:rPr>
          <w:rFonts w:eastAsiaTheme="minorHAnsi"/>
        </w:rPr>
      </w:pPr>
      <w:r w:rsidRPr="00E00B4E">
        <w:rPr>
          <w:rFonts w:eastAsiaTheme="minorHAnsi"/>
        </w:rPr>
        <w:t>3.</w:t>
      </w:r>
      <w:r w:rsidRPr="00E00B4E">
        <w:rPr>
          <w:rFonts w:eastAsiaTheme="minorHAnsi"/>
        </w:rPr>
        <w:tab/>
        <w:t xml:space="preserve">saprà ricercare le prassi contabili adottate dai principali IAS Adopter, analizzando e discutendo le basi tecniche considerate dagli stessi per trattamenti similari o differenti rispetto ad analoghe fattispecie; </w:t>
      </w:r>
    </w:p>
    <w:p w14:paraId="29E84B6B" w14:textId="77777777" w:rsidR="00E00B4E" w:rsidRPr="00555B98" w:rsidRDefault="00E00B4E" w:rsidP="00DB4C78">
      <w:pPr>
        <w:tabs>
          <w:tab w:val="left" w:pos="708"/>
        </w:tabs>
        <w:autoSpaceDE w:val="0"/>
        <w:autoSpaceDN w:val="0"/>
        <w:adjustRightInd w:val="0"/>
        <w:spacing w:line="240" w:lineRule="exact"/>
        <w:ind w:left="284" w:hanging="284"/>
        <w:rPr>
          <w:rFonts w:eastAsiaTheme="minorHAnsi"/>
        </w:rPr>
      </w:pPr>
      <w:r w:rsidRPr="00E00B4E">
        <w:rPr>
          <w:rFonts w:eastAsiaTheme="minorHAnsi"/>
        </w:rPr>
        <w:t>4.</w:t>
      </w:r>
      <w:r w:rsidRPr="00E00B4E">
        <w:rPr>
          <w:rFonts w:eastAsiaTheme="minorHAnsi"/>
        </w:rPr>
        <w:tab/>
        <w:t>saprà comunicare e descrivere in modo chiaro i principali IAS/IFRS, le modalità applicative, le prassi contabili adottate e le basi tecniche degli stessi</w:t>
      </w:r>
      <w:r w:rsidR="00DB4C78">
        <w:rPr>
          <w:rFonts w:eastAsiaTheme="minorHAnsi"/>
        </w:rPr>
        <w:t>;</w:t>
      </w:r>
    </w:p>
    <w:p w14:paraId="4FA20A2F" w14:textId="77777777" w:rsidR="00E00B4E" w:rsidRDefault="00DB4C78" w:rsidP="00DB4C78">
      <w:pPr>
        <w:tabs>
          <w:tab w:val="left" w:pos="708"/>
        </w:tabs>
        <w:autoSpaceDE w:val="0"/>
        <w:autoSpaceDN w:val="0"/>
        <w:adjustRightInd w:val="0"/>
        <w:spacing w:line="240" w:lineRule="exact"/>
        <w:ind w:left="284" w:hanging="284"/>
        <w:rPr>
          <w:rFonts w:eastAsiaTheme="minorHAnsi"/>
          <w:b/>
        </w:rPr>
      </w:pPr>
      <w:r>
        <w:rPr>
          <w:rFonts w:eastAsiaTheme="minorHAnsi"/>
        </w:rPr>
        <w:t>5.</w:t>
      </w:r>
      <w:r w:rsidR="00E00B4E" w:rsidRPr="00E00B4E">
        <w:rPr>
          <w:rFonts w:eastAsiaTheme="minorHAnsi"/>
        </w:rPr>
        <w:tab/>
        <w:t xml:space="preserve">saprà avanzare negli studi di analisi e redazione di bilanci secondo regole IAS/IFRS, sviluppando capacità di </w:t>
      </w:r>
      <w:r w:rsidR="00E00B4E" w:rsidRPr="00E00B4E">
        <w:rPr>
          <w:rFonts w:eastAsiaTheme="minorHAnsi"/>
          <w:i/>
        </w:rPr>
        <w:t>benchmark analysis</w:t>
      </w:r>
      <w:r w:rsidR="00E00B4E" w:rsidRPr="00E00B4E">
        <w:rPr>
          <w:rFonts w:eastAsiaTheme="minorHAnsi"/>
        </w:rPr>
        <w:t xml:space="preserve"> delle diverse </w:t>
      </w:r>
      <w:r w:rsidR="00E00B4E" w:rsidRPr="00E00B4E">
        <w:rPr>
          <w:rFonts w:eastAsiaTheme="minorHAnsi"/>
          <w:i/>
        </w:rPr>
        <w:t xml:space="preserve">common </w:t>
      </w:r>
      <w:r w:rsidR="00E00B4E" w:rsidRPr="00E00B4E">
        <w:rPr>
          <w:rFonts w:eastAsiaTheme="minorHAnsi"/>
          <w:i/>
        </w:rPr>
        <w:lastRenderedPageBreak/>
        <w:t>practice</w:t>
      </w:r>
      <w:r w:rsidR="00E00B4E" w:rsidRPr="00E00B4E">
        <w:rPr>
          <w:rFonts w:eastAsiaTheme="minorHAnsi"/>
        </w:rPr>
        <w:t xml:space="preserve"> applicative e di discussione tecnica delle stesse, che sono alla base di diverse attività professionali in materia.</w:t>
      </w:r>
    </w:p>
    <w:p w14:paraId="166D7D66" w14:textId="77777777" w:rsidR="00E00B4E" w:rsidRDefault="00E00B4E" w:rsidP="00DB4C7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170811C" w14:textId="77777777" w:rsidR="00E00B4E" w:rsidRPr="00555B98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Nel corso vengono presentati alcuni principi contabili internazionali di particolare rilevanza.</w:t>
      </w:r>
    </w:p>
    <w:p w14:paraId="5415B47C" w14:textId="77777777" w:rsidR="00E00B4E" w:rsidRPr="00E00B4E" w:rsidRDefault="00E00B4E" w:rsidP="00DB4C78">
      <w:pPr>
        <w:spacing w:before="120" w:line="240" w:lineRule="exact"/>
        <w:rPr>
          <w:szCs w:val="20"/>
        </w:rPr>
      </w:pPr>
      <w:r w:rsidRPr="00DB4C78">
        <w:rPr>
          <w:smallCaps/>
          <w:sz w:val="18"/>
          <w:szCs w:val="20"/>
        </w:rPr>
        <w:t>I Modulo</w:t>
      </w:r>
      <w:r w:rsidRPr="00E00B4E">
        <w:rPr>
          <w:szCs w:val="20"/>
        </w:rPr>
        <w:t xml:space="preserve">: </w:t>
      </w:r>
      <w:r w:rsidRPr="00E00B4E">
        <w:rPr>
          <w:i/>
          <w:szCs w:val="20"/>
        </w:rPr>
        <w:t>Prof. Mario Gozzetti</w:t>
      </w:r>
    </w:p>
    <w:p w14:paraId="5FB9E46B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2 – Rimanenze.</w:t>
      </w:r>
    </w:p>
    <w:p w14:paraId="797CCD56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11 – Lavori in corso su ordinazione.</w:t>
      </w:r>
    </w:p>
    <w:p w14:paraId="43DE4EBC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IFRS 15 – Ricavi.</w:t>
      </w:r>
    </w:p>
    <w:p w14:paraId="427F4AC1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36 – Riduzione di valore delle attività.</w:t>
      </w:r>
    </w:p>
    <w:p w14:paraId="28639A64" w14:textId="0005076D" w:rsidR="00E00B4E" w:rsidRPr="00555B98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Una parte del corso è inoltre dedicata a</w:t>
      </w:r>
      <w:r w:rsidR="005328F9">
        <w:rPr>
          <w:szCs w:val="20"/>
        </w:rPr>
        <w:t xml:space="preserve"> tematiche specifiche i) </w:t>
      </w:r>
      <w:r w:rsidRPr="00E00B4E">
        <w:rPr>
          <w:szCs w:val="20"/>
        </w:rPr>
        <w:t>che si incontrano nelle attività di revisione svolte nell’ambito di operazioni di acquisizione e delle altre operazioni straordinarie</w:t>
      </w:r>
      <w:r w:rsidR="005328F9">
        <w:rPr>
          <w:szCs w:val="20"/>
        </w:rPr>
        <w:t xml:space="preserve"> ii) che si affrontano in particolare con riferimento alla applicazione dello IAS 36 in contesti di crisi finanziaria e reale, inclusa la valutazione degli effetti determinati dalla pandemia da Covid 19</w:t>
      </w:r>
      <w:r w:rsidRPr="00E00B4E">
        <w:rPr>
          <w:szCs w:val="20"/>
        </w:rPr>
        <w:t>.</w:t>
      </w:r>
    </w:p>
    <w:p w14:paraId="1026C4B9" w14:textId="77777777" w:rsidR="00E00B4E" w:rsidRPr="00E00B4E" w:rsidRDefault="00E00B4E" w:rsidP="00DB4C78">
      <w:pPr>
        <w:spacing w:before="120" w:line="240" w:lineRule="exact"/>
        <w:rPr>
          <w:i/>
          <w:szCs w:val="20"/>
        </w:rPr>
      </w:pPr>
      <w:r w:rsidRPr="00DB4C78">
        <w:rPr>
          <w:smallCaps/>
          <w:sz w:val="18"/>
          <w:szCs w:val="20"/>
        </w:rPr>
        <w:t>II Modulo</w:t>
      </w:r>
      <w:r w:rsidRPr="00E00B4E">
        <w:rPr>
          <w:szCs w:val="20"/>
        </w:rPr>
        <w:t xml:space="preserve">: </w:t>
      </w:r>
      <w:r w:rsidRPr="00E00B4E">
        <w:rPr>
          <w:i/>
          <w:szCs w:val="20"/>
        </w:rPr>
        <w:t>Prof. Alberto Romeo</w:t>
      </w:r>
    </w:p>
    <w:p w14:paraId="3A55B13E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1 – Presentazione del bilancio.</w:t>
      </w:r>
    </w:p>
    <w:p w14:paraId="047D6EAB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8 – Cambiamenti nelle stime contabili ed errori.</w:t>
      </w:r>
    </w:p>
    <w:p w14:paraId="5B0B531D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10 – Fatti intervenuti dopo la data di chiusura dell’esercizio.</w:t>
      </w:r>
    </w:p>
    <w:p w14:paraId="5C8053D4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12 – Imposte sul reddito.</w:t>
      </w:r>
    </w:p>
    <w:p w14:paraId="421CD31E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16 – Immobili, impianti e macchinari.</w:t>
      </w:r>
    </w:p>
    <w:p w14:paraId="66DBFD56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IFRS 16 – Leasing.</w:t>
      </w:r>
    </w:p>
    <w:p w14:paraId="2092CB79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37 – Accantonamenti, passività e attività potenziali.</w:t>
      </w:r>
    </w:p>
    <w:p w14:paraId="3A94A4C5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38 – Attività immateriali.</w:t>
      </w:r>
    </w:p>
    <w:p w14:paraId="7381DBCD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IFRS 2 – Pagamenti basati su azioni.</w:t>
      </w:r>
    </w:p>
    <w:p w14:paraId="57DA3731" w14:textId="77777777" w:rsidR="00E00B4E" w:rsidRPr="00E00B4E" w:rsidRDefault="00E00B4E" w:rsidP="00DB4C78">
      <w:pPr>
        <w:spacing w:before="120" w:after="120" w:line="240" w:lineRule="exact"/>
        <w:rPr>
          <w:szCs w:val="20"/>
        </w:rPr>
      </w:pPr>
      <w:r w:rsidRPr="00E00B4E">
        <w:rPr>
          <w:szCs w:val="20"/>
        </w:rPr>
        <w:t>Una parte del corso sarà inoltre dedicata a cenni sui progetti di aggiornamento di principi ed emanazione nuovi principi da parte dello IASB, se significativi rispetto ai principi oggetto del corso.</w:t>
      </w:r>
    </w:p>
    <w:p w14:paraId="6984260B" w14:textId="77777777" w:rsid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Le lezioni si svilupperanno facendo riferimento al contenuto del principio, alle complessità connesse alla loro applicazione e ad alcune esperienze e casistiche, riferite a gruppi quotati, considerate emblematiche.</w:t>
      </w:r>
    </w:p>
    <w:p w14:paraId="0DB46CA2" w14:textId="77777777" w:rsidR="00E00B4E" w:rsidRPr="00DB4C78" w:rsidRDefault="00E00B4E" w:rsidP="00DB4C7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5DB84742" w14:textId="77777777" w:rsidR="00E00B4E" w:rsidRDefault="00E00B4E" w:rsidP="004857FD">
      <w:pPr>
        <w:pStyle w:val="Testo1"/>
        <w:ind w:firstLine="0"/>
      </w:pPr>
      <w:r>
        <w:t>Letture richieste</w:t>
      </w:r>
      <w:r w:rsidR="00555B98">
        <w:t>:</w:t>
      </w:r>
    </w:p>
    <w:p w14:paraId="0192A8F7" w14:textId="77777777" w:rsidR="00E00B4E" w:rsidRPr="00555B98" w:rsidRDefault="00E00B4E" w:rsidP="00555B98">
      <w:pPr>
        <w:pStyle w:val="Testo1"/>
        <w:spacing w:before="0"/>
      </w:pPr>
      <w:r w:rsidRPr="00555B98">
        <w:rPr>
          <w:i/>
        </w:rPr>
        <w:t>International Accounting Reporting Standards (IFRSs)</w:t>
      </w:r>
      <w:r w:rsidRPr="00555B98">
        <w:t xml:space="preserve"> inclusi i principi contabili internazionali (IASs) e le interpretazioni, nelle traduzioni in lingua italiana o dalle fonti originali in lingua inglese.</w:t>
      </w:r>
    </w:p>
    <w:p w14:paraId="7268B41D" w14:textId="77777777" w:rsidR="00E00B4E" w:rsidRDefault="00E00B4E" w:rsidP="00E00B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35D2B911" w14:textId="77777777" w:rsidR="00E00B4E" w:rsidRPr="00555B98" w:rsidRDefault="00E00B4E" w:rsidP="00555B98">
      <w:pPr>
        <w:pStyle w:val="Testo2"/>
      </w:pPr>
      <w:r w:rsidRPr="00555B98">
        <w:t>Il metodo didattico si fonda largamente su lezioni finalizzate a trasmettere i fondamenti dei principi contabili internazionali e ad analizzare le principali complessità e particolarità applicative tramite casi studio e/o approcci adottati da parte di aziende IFRS Adopter. Le lezioni saranno tenute con il supporto di presentazioni riassuntive degli argomenti che saranno discussi in aula, rese disponibili all’inizio del corso.</w:t>
      </w:r>
    </w:p>
    <w:p w14:paraId="7012A235" w14:textId="77777777" w:rsidR="00E00B4E" w:rsidRPr="00555B98" w:rsidRDefault="00E00B4E" w:rsidP="00555B98">
      <w:pPr>
        <w:pStyle w:val="Testo2"/>
      </w:pPr>
      <w:r w:rsidRPr="00555B98">
        <w:t>Il corso è erogato in due moduli, uno a cura del Prof. Gozzetti ed uno a cura del Prof. Romeo.</w:t>
      </w:r>
    </w:p>
    <w:p w14:paraId="15E5ADB6" w14:textId="77777777" w:rsidR="00E00B4E" w:rsidRDefault="00E00B4E" w:rsidP="00E00B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745ECAB" w14:textId="77777777" w:rsidR="00E00B4E" w:rsidRDefault="00E00B4E" w:rsidP="00E00B4E">
      <w:pPr>
        <w:pStyle w:val="Testo2"/>
      </w:pPr>
      <w:r w:rsidRPr="002E6E7E">
        <w:t xml:space="preserve">L’esame finale mira a valutare la preparazione dello studente in relazione agli obiettivi didattici. La verifica dell’apprendimento è fondata su di un esame finale </w:t>
      </w:r>
      <w:r w:rsidRPr="0080756A">
        <w:t xml:space="preserve">mediante una prova scritta </w:t>
      </w:r>
      <w:r>
        <w:t xml:space="preserve">articolata su due serie di cinque o sei </w:t>
      </w:r>
      <w:r w:rsidRPr="0080756A">
        <w:t>domande</w:t>
      </w:r>
      <w:r>
        <w:t>, in funzione della complessità delle stesse,</w:t>
      </w:r>
      <w:r w:rsidRPr="0080756A">
        <w:t xml:space="preserve"> </w:t>
      </w:r>
      <w:r>
        <w:t xml:space="preserve">con risposte aperte ed esercizi, ciascuna riferita ai principi contabili analizzati in ciascuno dei due moduli. La prova scritta è finalizzata ad </w:t>
      </w:r>
      <w:r w:rsidRPr="0080756A">
        <w:t>accertare la conoscenza dei principi contabili internazionali</w:t>
      </w:r>
      <w:r>
        <w:t>,</w:t>
      </w:r>
      <w:r w:rsidRPr="0080756A">
        <w:t xml:space="preserve"> l</w:t>
      </w:r>
      <w:r>
        <w:t xml:space="preserve">’identificazione del principio da applicare rispetto a fattispecie pratiche nonché </w:t>
      </w:r>
      <w:r w:rsidRPr="0080756A">
        <w:t>a conoscenza delle moda</w:t>
      </w:r>
      <w:r>
        <w:t>lità pratiche di applicazione degli stessi.</w:t>
      </w:r>
    </w:p>
    <w:p w14:paraId="409535E3" w14:textId="77777777" w:rsidR="00E00B4E" w:rsidRPr="0080756A" w:rsidRDefault="00E00B4E" w:rsidP="00E00B4E">
      <w:pPr>
        <w:pStyle w:val="Testo2"/>
      </w:pPr>
      <w:r>
        <w:t xml:space="preserve">Alla determinazione del voto </w:t>
      </w:r>
      <w:r w:rsidRPr="002E6E7E">
        <w:t>concorrono in misura eguale la padronanza tematica e linguistica dimostrata nello svolgimento degli argomenti,</w:t>
      </w:r>
      <w:r>
        <w:t xml:space="preserve"> ed in particolare l’efficacia della focalizzazione degli elementi caratterizzanti il principio, la capacità di sintesi descrittiva degli stessi, la corretta applicazione alle fattispecie proposte secondo le prevalenti interpretazioni e l’appropriatezza del linguaggio tecnico utilizzato</w:t>
      </w:r>
      <w:r w:rsidRPr="0080756A">
        <w:t>.</w:t>
      </w:r>
    </w:p>
    <w:p w14:paraId="3741102B" w14:textId="77777777" w:rsidR="00E00B4E" w:rsidRPr="002E6E7E" w:rsidRDefault="00E00B4E" w:rsidP="00E00B4E">
      <w:pPr>
        <w:pStyle w:val="Testo2"/>
      </w:pPr>
      <w:r w:rsidRPr="0080756A">
        <w:t>La valutazio</w:t>
      </w:r>
      <w:r>
        <w:t>ne sarà espressa in modo complessivo</w:t>
      </w:r>
      <w:r w:rsidRPr="0080756A">
        <w:t xml:space="preserve"> con riferimento ad entrambi i moduli su cui il corso è articolato.</w:t>
      </w:r>
    </w:p>
    <w:p w14:paraId="56161F21" w14:textId="77777777" w:rsidR="00E00B4E" w:rsidRPr="0080756A" w:rsidRDefault="00E00B4E" w:rsidP="00E00B4E">
      <w:pPr>
        <w:pStyle w:val="Testo2"/>
      </w:pPr>
      <w:r w:rsidRPr="0080756A">
        <w:t xml:space="preserve">Sarà prevista una prova intermedia al termine delle presentazioni in aula, destinata agli studenti con frequenza alle lezioni. </w:t>
      </w:r>
    </w:p>
    <w:p w14:paraId="29B52934" w14:textId="77777777" w:rsidR="00E00B4E" w:rsidRPr="009618F5" w:rsidRDefault="00E00B4E" w:rsidP="00555B98">
      <w:pPr>
        <w:pStyle w:val="Testo2"/>
        <w:spacing w:before="120"/>
      </w:pPr>
      <w:r w:rsidRPr="009618F5">
        <w:t xml:space="preserve">I criteri per l’attribuzione </w:t>
      </w:r>
      <w:r>
        <w:t>del voto finale sono i seguenti:</w:t>
      </w:r>
    </w:p>
    <w:p w14:paraId="25FA7F2B" w14:textId="77777777" w:rsidR="00E00B4E" w:rsidRDefault="00E00B4E" w:rsidP="00DB4C78">
      <w:pPr>
        <w:pStyle w:val="Testo2"/>
        <w:ind w:left="568" w:hanging="284"/>
      </w:pPr>
      <w:r w:rsidRPr="009618F5">
        <w:t>-</w:t>
      </w:r>
      <w:r>
        <w:tab/>
      </w:r>
      <w:r w:rsidRPr="009618F5">
        <w:t>La consapevolezza ampia dei temi, la capacità di applicare criticamente le conoscenze e la proprietà linguistica ed espressiva specifica in ambito tecnico-contabile nonché il corretto svolgimento degli esercizi applicativi con efficace descrizione dell’approccio metodologico seguito, condurranno a voti di eccellenza, con eventuale attribuzione della lode nei soli casi in cui il candidato/a dimostri una preparazione straordinaria.</w:t>
      </w:r>
    </w:p>
    <w:p w14:paraId="15ED4ED8" w14:textId="77777777" w:rsidR="00E00B4E" w:rsidRDefault="00E00B4E" w:rsidP="00DB4C78">
      <w:pPr>
        <w:pStyle w:val="Testo2"/>
        <w:ind w:left="568" w:hanging="284"/>
      </w:pPr>
      <w:r w:rsidRPr="009618F5">
        <w:t>-</w:t>
      </w:r>
      <w:r>
        <w:tab/>
      </w:r>
      <w:r w:rsidRPr="009618F5">
        <w:t>Una capacità di analisi e sintesi non del tutto articolate e/o l’utilizzo di un linguaggio non del tutto appropriato e lo svolgimento degli esercizi con corretto approccio e soddisfacente descrizione della metodologia seguita porteranno a valutazioni discrete/buone, con differenziazione del voto a seconda del livello di preparazione dimostrato nell’esame.</w:t>
      </w:r>
    </w:p>
    <w:p w14:paraId="4BF66D1D" w14:textId="77777777" w:rsidR="00E00B4E" w:rsidRDefault="00E00B4E" w:rsidP="00DB4C78">
      <w:pPr>
        <w:pStyle w:val="Testo2"/>
        <w:ind w:left="568" w:hanging="284"/>
      </w:pPr>
      <w:r w:rsidRPr="009618F5">
        <w:t>-</w:t>
      </w:r>
      <w:r>
        <w:tab/>
      </w:r>
      <w:r w:rsidRPr="009618F5">
        <w:t>La presenza di lacune formative o l’utilizzo di un linguaggio inappropriato, se comunque coerente con gli elementi caratterizzanti la regola contabile, nell’ambito di conoscenze di tipo basilare del programma condurranno ad una valutazione di sufficienza.</w:t>
      </w:r>
    </w:p>
    <w:p w14:paraId="47C4D7AA" w14:textId="77777777" w:rsidR="00E00B4E" w:rsidRPr="009618F5" w:rsidRDefault="00E00B4E" w:rsidP="00DB4C78">
      <w:pPr>
        <w:pStyle w:val="Testo2"/>
        <w:ind w:left="568" w:hanging="284"/>
      </w:pPr>
      <w:r w:rsidRPr="009618F5">
        <w:lastRenderedPageBreak/>
        <w:t>-</w:t>
      </w:r>
      <w:r>
        <w:tab/>
      </w:r>
      <w:r w:rsidRPr="009618F5">
        <w:t>L’emersione di lacune formative gravi e in ogni caso avere trascurato una parte del programma, l’utilizzo di un linguaggio scorretto o l’assenza di coerenza dei concetti espressi rispetto alle applicabili regole tecniche di base condurranno ad una valutazione insufficiente.</w:t>
      </w:r>
    </w:p>
    <w:p w14:paraId="65925E56" w14:textId="77777777" w:rsidR="00E00B4E" w:rsidRDefault="00E00B4E" w:rsidP="00E00B4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B39F151" w14:textId="77777777" w:rsidR="00E00B4E" w:rsidRDefault="00E00B4E" w:rsidP="00555B98">
      <w:pPr>
        <w:pStyle w:val="Testo2"/>
      </w:pPr>
      <w:r w:rsidRPr="00555B98">
        <w:t>La frequenza alle lezioni e all’esercitazioni è vivamente consigliata.</w:t>
      </w:r>
    </w:p>
    <w:p w14:paraId="38EB95BB" w14:textId="2B5B4157" w:rsidR="005627C2" w:rsidRDefault="005627C2" w:rsidP="005627C2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dell’insegnamento in distance learning</w:t>
      </w:r>
      <w:r w:rsidR="002F47A8">
        <w:rPr>
          <w:rFonts w:ascii="Gill Sans MT" w:hAnsi="Gill Sans MT" w:cs="Open Sans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sectPr w:rsidR="005627C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4E"/>
    <w:rsid w:val="0017276E"/>
    <w:rsid w:val="00187B99"/>
    <w:rsid w:val="001B186B"/>
    <w:rsid w:val="002014DD"/>
    <w:rsid w:val="002D5E17"/>
    <w:rsid w:val="002E2559"/>
    <w:rsid w:val="002F47A8"/>
    <w:rsid w:val="004857FD"/>
    <w:rsid w:val="004D1217"/>
    <w:rsid w:val="004D6008"/>
    <w:rsid w:val="005328F9"/>
    <w:rsid w:val="00555B98"/>
    <w:rsid w:val="005627C2"/>
    <w:rsid w:val="005A3DBD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DB4C78"/>
    <w:rsid w:val="00E00B4E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3FDF4"/>
  <w15:chartTrackingRefBased/>
  <w15:docId w15:val="{98FBFF2F-AFAA-4561-A4FF-F6932298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E00B4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1AB33-160D-4EE3-ACBA-3C9D550D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4</Pages>
  <Words>1104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2022-05-24T09:00:00Z</dcterms:created>
  <dcterms:modified xsi:type="dcterms:W3CDTF">2022-05-24T09:02:00Z</dcterms:modified>
</cp:coreProperties>
</file>