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36DA8" w14:textId="77777777" w:rsidR="009D7E11" w:rsidRDefault="009D7E11" w:rsidP="009D7E11">
      <w:pPr>
        <w:pStyle w:val="Titolo1"/>
      </w:pPr>
      <w:r w:rsidRPr="00EC444F">
        <w:t>Finanza aziendale (</w:t>
      </w:r>
      <w:r>
        <w:t xml:space="preserve">finanza straordinaria </w:t>
      </w:r>
      <w:r w:rsidRPr="001731C2">
        <w:t>e valutazione d’impresa</w:t>
      </w:r>
      <w:r w:rsidRPr="00EC444F">
        <w:t>)</w:t>
      </w:r>
    </w:p>
    <w:p w14:paraId="5B52B7C5" w14:textId="3E1C59FD" w:rsidR="009D7E11" w:rsidRPr="009251FA" w:rsidRDefault="009D7E11" w:rsidP="009251FA">
      <w:pPr>
        <w:pStyle w:val="Titolo2"/>
      </w:pPr>
      <w:r w:rsidRPr="009251FA">
        <w:t>Prof. Alfonso Del Giudice</w:t>
      </w:r>
      <w:r w:rsidR="00CF4614">
        <w:t>; Prof. Dante Ravagnan</w:t>
      </w:r>
    </w:p>
    <w:p w14:paraId="0F60F66F" w14:textId="77777777" w:rsidR="002D5E17" w:rsidRDefault="009251FA" w:rsidP="009251F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5DAA917" w14:textId="77777777" w:rsidR="009251FA" w:rsidRPr="00F33AB3" w:rsidRDefault="009251FA" w:rsidP="009251FA">
      <w:pPr>
        <w:spacing w:line="240" w:lineRule="exact"/>
      </w:pPr>
      <w:r w:rsidRPr="00EC444F">
        <w:t>Obiettivo del corso è fornire agli studenti approfondimenti specifici della disciplina, consigliati nella costruzione di profili professionali coinvolti</w:t>
      </w:r>
      <w:r>
        <w:t xml:space="preserve"> direttamente o indirettamente – in qualità di consulenti –</w:t>
      </w:r>
      <w:r w:rsidRPr="00EC444F">
        <w:t xml:space="preserve"> nella gestione finanziaria d’impresa.</w:t>
      </w:r>
      <w:r>
        <w:t xml:space="preserve"> </w:t>
      </w:r>
      <w:r w:rsidRPr="00F33AB3">
        <w:t>Al termine del corso gli studenti devono:</w:t>
      </w:r>
    </w:p>
    <w:p w14:paraId="009583A4" w14:textId="77777777" w:rsidR="009251FA" w:rsidRPr="00F33AB3" w:rsidRDefault="004D1CE3" w:rsidP="004D1CE3">
      <w:pPr>
        <w:spacing w:line="240" w:lineRule="exact"/>
        <w:ind w:left="284" w:hanging="284"/>
      </w:pPr>
      <w:r>
        <w:t>1.</w:t>
      </w:r>
      <w:r>
        <w:tab/>
      </w:r>
      <w:r w:rsidR="009251FA">
        <w:t>A</w:t>
      </w:r>
      <w:r w:rsidR="009251FA" w:rsidRPr="00F33AB3">
        <w:t xml:space="preserve">ver acquisito la conoscenza e la comprensione dei concetti-base della materia, utilizzabili per interpretare </w:t>
      </w:r>
      <w:r w:rsidR="009251FA">
        <w:t>le</w:t>
      </w:r>
      <w:r w:rsidR="009251FA" w:rsidRPr="00F33AB3">
        <w:t xml:space="preserve"> decisioni </w:t>
      </w:r>
      <w:r w:rsidR="009251FA">
        <w:t xml:space="preserve">di </w:t>
      </w:r>
      <w:r w:rsidR="009251FA" w:rsidRPr="00F33AB3">
        <w:t>finanza</w:t>
      </w:r>
      <w:r w:rsidR="009251FA">
        <w:t xml:space="preserve"> aziendale straordinaria</w:t>
      </w:r>
      <w:r w:rsidR="009251FA" w:rsidRPr="00F33AB3">
        <w:t>.</w:t>
      </w:r>
    </w:p>
    <w:p w14:paraId="02E7EB78" w14:textId="77777777" w:rsidR="009251FA" w:rsidRPr="00F33AB3" w:rsidRDefault="004D1CE3" w:rsidP="004D1CE3">
      <w:pPr>
        <w:spacing w:line="240" w:lineRule="exact"/>
        <w:ind w:left="284" w:hanging="284"/>
      </w:pPr>
      <w:r>
        <w:t>2.</w:t>
      </w:r>
      <w:r>
        <w:tab/>
      </w:r>
      <w:r w:rsidR="009251FA">
        <w:t>A</w:t>
      </w:r>
      <w:r w:rsidR="009251FA" w:rsidRPr="00F33AB3">
        <w:t xml:space="preserve">ver acquisito la capacità di applicare tali conoscenze </w:t>
      </w:r>
      <w:r w:rsidR="009251FA">
        <w:t>al fine di realizzare</w:t>
      </w:r>
      <w:r w:rsidR="009251FA" w:rsidRPr="00F33AB3">
        <w:t>, in un contesto semplificato</w:t>
      </w:r>
      <w:r w:rsidR="009251FA">
        <w:t>, i passaggi fondamentali di valutazione d’azienda e di finanza straordinaria</w:t>
      </w:r>
      <w:r w:rsidR="009251FA" w:rsidRPr="00F33AB3">
        <w:t>.</w:t>
      </w:r>
    </w:p>
    <w:p w14:paraId="1641199D" w14:textId="77777777" w:rsidR="009251FA" w:rsidRPr="00F33AB3" w:rsidRDefault="004D1CE3" w:rsidP="004D1CE3">
      <w:pPr>
        <w:spacing w:line="240" w:lineRule="exact"/>
        <w:ind w:left="284" w:hanging="284"/>
      </w:pPr>
      <w:r>
        <w:t>3.</w:t>
      </w:r>
      <w:r>
        <w:tab/>
      </w:r>
      <w:r w:rsidR="009251FA">
        <w:t>A</w:t>
      </w:r>
      <w:r w:rsidR="009251FA" w:rsidRPr="00F33AB3">
        <w:t>vere acquisito la capacità di raccogliere e interpretare i dati ritenuti utili come fondamento delle decisioni investimento e finanziamento e a determinare giudizi autonomi in tale ambito.</w:t>
      </w:r>
    </w:p>
    <w:p w14:paraId="5A8051CB" w14:textId="77777777" w:rsidR="009251FA" w:rsidRPr="00F33AB3" w:rsidRDefault="004D1CE3" w:rsidP="004D1CE3">
      <w:pPr>
        <w:spacing w:line="240" w:lineRule="exact"/>
        <w:ind w:left="284" w:hanging="284"/>
      </w:pPr>
      <w:r>
        <w:t>4.</w:t>
      </w:r>
      <w:r>
        <w:tab/>
      </w:r>
      <w:r w:rsidR="009251FA">
        <w:t>A</w:t>
      </w:r>
      <w:r w:rsidR="009251FA" w:rsidRPr="00F33AB3">
        <w:t>vere acquisito un linguaggio tecnico che consenta loro di comunicare con chiarezza ed efficacia le conoscenze acquisite.</w:t>
      </w:r>
    </w:p>
    <w:p w14:paraId="07CEBB51" w14:textId="77777777" w:rsidR="009251FA" w:rsidRPr="00F33AB3" w:rsidRDefault="004D1CE3" w:rsidP="004D1CE3">
      <w:pPr>
        <w:spacing w:line="240" w:lineRule="exact"/>
        <w:ind w:left="284" w:hanging="284"/>
      </w:pPr>
      <w:r>
        <w:t>5.</w:t>
      </w:r>
      <w:r>
        <w:tab/>
      </w:r>
      <w:r w:rsidR="009251FA">
        <w:t>A</w:t>
      </w:r>
      <w:r w:rsidR="009251FA" w:rsidRPr="00F33AB3">
        <w:t xml:space="preserve">vere sviluppato capacità di apprendimento necessarie per svolgere ulteriori approfondimenti </w:t>
      </w:r>
      <w:r w:rsidR="009251FA">
        <w:t xml:space="preserve">sia in altri corsi di laurea magistrale sia in contesti professionali </w:t>
      </w:r>
      <w:r w:rsidR="009251FA" w:rsidRPr="00F33AB3">
        <w:t>con un alto grado di autonomia.</w:t>
      </w:r>
    </w:p>
    <w:p w14:paraId="20F4D710" w14:textId="77777777" w:rsidR="009251FA" w:rsidRDefault="009251FA" w:rsidP="009251F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BEB42F9" w14:textId="77777777" w:rsidR="009251FA" w:rsidRDefault="009251FA" w:rsidP="009251FA">
      <w:pPr>
        <w:spacing w:line="240" w:lineRule="exact"/>
      </w:pPr>
      <w:r>
        <w:t>Il programma del corso affronta una serie di temi applicati rilevanti per la gestione finanziaria d’impresa.</w:t>
      </w:r>
    </w:p>
    <w:p w14:paraId="3B753335" w14:textId="77777777" w:rsidR="009251FA" w:rsidRDefault="009251FA" w:rsidP="009251FA">
      <w:pPr>
        <w:spacing w:before="120" w:line="240" w:lineRule="exact"/>
        <w:ind w:left="284" w:hanging="284"/>
      </w:pPr>
      <w:r>
        <w:t>1.</w:t>
      </w:r>
      <w:r>
        <w:tab/>
      </w:r>
      <w:r w:rsidRPr="00EC444F">
        <w:rPr>
          <w:i/>
        </w:rPr>
        <w:t>Valutazione d’impresa</w:t>
      </w:r>
      <w:r>
        <w:t>. La valutazione Free Cash Flow. L’</w:t>
      </w:r>
      <w:r w:rsidRPr="00EC444F">
        <w:rPr>
          <w:i/>
        </w:rPr>
        <w:t>equity premium</w:t>
      </w:r>
      <w:r>
        <w:t xml:space="preserve"> e il costo del capitale. L’utilizzo dei multipli nella valutazione. La valutazione con struttura del capitale non costante. La capacità d’indebitamento nel finanziamento delle acquisizioni. La valutazione delle opzioni di entrata e di uscita. La valutazione nelle fusioni e acquisizioni. Valutazioni in operazioni di M&amp;A con differenze di opinioni tra i partecipanti. Particolari strutture: garanzie di prezzi e </w:t>
      </w:r>
      <w:r w:rsidRPr="00EC444F">
        <w:rPr>
          <w:i/>
        </w:rPr>
        <w:t>collars</w:t>
      </w:r>
      <w:r>
        <w:t xml:space="preserve">. Valutazione nei </w:t>
      </w:r>
      <w:proofErr w:type="spellStart"/>
      <w:r w:rsidRPr="00EC444F">
        <w:rPr>
          <w:i/>
        </w:rPr>
        <w:t>Leveraged</w:t>
      </w:r>
      <w:proofErr w:type="spellEnd"/>
      <w:r w:rsidRPr="00EC444F">
        <w:rPr>
          <w:i/>
        </w:rPr>
        <w:t xml:space="preserve"> </w:t>
      </w:r>
      <w:proofErr w:type="spellStart"/>
      <w:r w:rsidRPr="00EC444F">
        <w:rPr>
          <w:i/>
        </w:rPr>
        <w:t>Buyouts</w:t>
      </w:r>
      <w:proofErr w:type="spellEnd"/>
      <w:r>
        <w:t>.</w:t>
      </w:r>
    </w:p>
    <w:p w14:paraId="1A3A4FB3" w14:textId="77777777" w:rsidR="009251FA" w:rsidRDefault="009251FA" w:rsidP="009251FA">
      <w:pPr>
        <w:spacing w:before="120" w:line="240" w:lineRule="exact"/>
        <w:ind w:left="284" w:hanging="284"/>
      </w:pPr>
      <w:r>
        <w:t>2.</w:t>
      </w:r>
      <w:r>
        <w:tab/>
      </w:r>
      <w:r w:rsidRPr="00EC444F">
        <w:rPr>
          <w:i/>
        </w:rPr>
        <w:t>Le operazioni di finanza straordinaria</w:t>
      </w:r>
      <w:r>
        <w:t xml:space="preserve">. Fenomenologia delle operazioni di finanza straordinaria (M&amp;A): le operazioni di fusione (merger) e di acquisizione (tramite acquisto di azioni o di attività). Integrazione verticale, orizzontale, conglomerale. I vincoli legali alle acquisizioni. Acquisizioni </w:t>
      </w:r>
      <w:r>
        <w:lastRenderedPageBreak/>
        <w:t xml:space="preserve">amichevoli e ostili; le difese da takeover ostili. Le acquisizioni in Borsa e fuori Borsa: le OPA e le OPS. I movimenti dei prezzi azionari in occasione delle offerte su titoli quotati e i comportamenti degli investitori. </w:t>
      </w:r>
      <w:proofErr w:type="spellStart"/>
      <w:r w:rsidRPr="00EC444F">
        <w:rPr>
          <w:lang w:val="en-US"/>
        </w:rPr>
        <w:t>Aspetti</w:t>
      </w:r>
      <w:proofErr w:type="spellEnd"/>
      <w:r w:rsidRPr="00EC444F">
        <w:rPr>
          <w:lang w:val="en-US"/>
        </w:rPr>
        <w:t xml:space="preserve"> </w:t>
      </w:r>
      <w:proofErr w:type="spellStart"/>
      <w:r w:rsidRPr="00EC444F">
        <w:rPr>
          <w:lang w:val="en-US"/>
        </w:rPr>
        <w:t>contabili</w:t>
      </w:r>
      <w:proofErr w:type="spellEnd"/>
      <w:r w:rsidRPr="00EC444F">
        <w:rPr>
          <w:lang w:val="en-US"/>
        </w:rPr>
        <w:t xml:space="preserve"> e </w:t>
      </w:r>
      <w:proofErr w:type="spellStart"/>
      <w:r w:rsidRPr="00EC444F">
        <w:rPr>
          <w:lang w:val="en-US"/>
        </w:rPr>
        <w:t>fiscali</w:t>
      </w:r>
      <w:proofErr w:type="spellEnd"/>
      <w:r w:rsidRPr="00EC444F">
        <w:rPr>
          <w:lang w:val="en-US"/>
        </w:rPr>
        <w:t xml:space="preserve">. Leveraged Buy-Out, Management Buy-Out, Going Private. </w:t>
      </w:r>
      <w:r>
        <w:t xml:space="preserve">Le operazioni di scissione. Le motivazioni delle acquisizioni: creazione e distruzione di valore tramite le operazioni di finanza straordinaria; la possibilità di trasferimenti di ricchezza. L’evidenza empirica sui risultati delle operazioni di finanza straordinaria. Analisi di casi concreti di M&amp;A. Innovazione finanziaria per lo sviluppo: mini-bond e </w:t>
      </w:r>
      <w:r w:rsidRPr="00EC444F">
        <w:rPr>
          <w:i/>
        </w:rPr>
        <w:t>social impact bond</w:t>
      </w:r>
      <w:r>
        <w:t>.</w:t>
      </w:r>
    </w:p>
    <w:p w14:paraId="4A103887" w14:textId="77777777" w:rsidR="009251FA" w:rsidRDefault="009251FA" w:rsidP="009251FA">
      <w:pPr>
        <w:spacing w:before="120" w:line="240" w:lineRule="exact"/>
        <w:ind w:left="284" w:hanging="284"/>
      </w:pPr>
      <w:r>
        <w:t>3.</w:t>
      </w:r>
      <w:r>
        <w:tab/>
      </w:r>
      <w:r w:rsidRPr="00EC444F">
        <w:rPr>
          <w:i/>
        </w:rPr>
        <w:t>IPO</w:t>
      </w:r>
      <w:r>
        <w:t xml:space="preserve">. Le motivazioni dell’apertura del capitale dell’impresa al mercato: dal lato dell’impresa; dal lato degli azionisti. Cenni sulla struttura competitiva </w:t>
      </w:r>
      <w:proofErr w:type="spellStart"/>
      <w:r>
        <w:t>dell’</w:t>
      </w:r>
      <w:r w:rsidRPr="00EC444F">
        <w:rPr>
          <w:i/>
        </w:rPr>
        <w:t>exchange</w:t>
      </w:r>
      <w:proofErr w:type="spellEnd"/>
      <w:r w:rsidRPr="00EC444F">
        <w:rPr>
          <w:i/>
        </w:rPr>
        <w:t xml:space="preserve"> </w:t>
      </w:r>
      <w:proofErr w:type="spellStart"/>
      <w:r w:rsidRPr="00EC444F">
        <w:rPr>
          <w:i/>
        </w:rPr>
        <w:t>industry</w:t>
      </w:r>
      <w:proofErr w:type="spellEnd"/>
      <w:r>
        <w:t xml:space="preserve"> per quanto concerne i mercati </w:t>
      </w:r>
      <w:r w:rsidRPr="00EC444F">
        <w:rPr>
          <w:i/>
        </w:rPr>
        <w:t>equity</w:t>
      </w:r>
      <w:r>
        <w:t xml:space="preserve">. L’accesso al mercato: </w:t>
      </w:r>
      <w:r w:rsidRPr="00EC444F">
        <w:rPr>
          <w:i/>
        </w:rPr>
        <w:t xml:space="preserve">alternative trading </w:t>
      </w:r>
      <w:proofErr w:type="spellStart"/>
      <w:r w:rsidRPr="00EC444F">
        <w:rPr>
          <w:i/>
        </w:rPr>
        <w:t>venues</w:t>
      </w:r>
      <w:proofErr w:type="spellEnd"/>
      <w:r>
        <w:t xml:space="preserve"> (mercati regolamentati, </w:t>
      </w:r>
      <w:proofErr w:type="spellStart"/>
      <w:r w:rsidRPr="00EC444F">
        <w:rPr>
          <w:i/>
        </w:rPr>
        <w:t>multilateral</w:t>
      </w:r>
      <w:proofErr w:type="spellEnd"/>
      <w:r w:rsidRPr="00EC444F">
        <w:rPr>
          <w:i/>
        </w:rPr>
        <w:t xml:space="preserve"> trading </w:t>
      </w:r>
      <w:proofErr w:type="spellStart"/>
      <w:r w:rsidRPr="00EC444F">
        <w:rPr>
          <w:i/>
        </w:rPr>
        <w:t>facilities</w:t>
      </w:r>
      <w:proofErr w:type="spellEnd"/>
      <w:r>
        <w:t xml:space="preserve">, </w:t>
      </w:r>
      <w:proofErr w:type="spellStart"/>
      <w:r>
        <w:t>internalizzatori</w:t>
      </w:r>
      <w:proofErr w:type="spellEnd"/>
      <w:r>
        <w:t xml:space="preserve"> sistematici); la funzione di </w:t>
      </w:r>
      <w:r w:rsidRPr="00EC444F">
        <w:rPr>
          <w:i/>
        </w:rPr>
        <w:t>listing</w:t>
      </w:r>
      <w:r>
        <w:t xml:space="preserve"> delle Borse; una prospettiva internazionale: lo </w:t>
      </w:r>
      <w:r w:rsidRPr="00EC444F">
        <w:rPr>
          <w:i/>
        </w:rPr>
        <w:t>shopping</w:t>
      </w:r>
      <w:r>
        <w:t xml:space="preserve"> di giurisdizioni di incorporazione e di mercati di quotazione; la segmentazione dei mercati di Borsa Italiana e di LSE; la disciplina italiana sull’accesso ai mercati. Quotazione e </w:t>
      </w:r>
      <w:r w:rsidRPr="00EC444F">
        <w:rPr>
          <w:i/>
        </w:rPr>
        <w:t>corporate governance</w:t>
      </w:r>
      <w:r>
        <w:t xml:space="preserve">: la quotazione come mezzo di separazione tra proprietà e controllo. Investitori istituzionali e </w:t>
      </w:r>
      <w:r w:rsidRPr="00EC444F">
        <w:rPr>
          <w:i/>
        </w:rPr>
        <w:t>shareholders activism</w:t>
      </w:r>
      <w:r>
        <w:t>. Economia del mercato primario: il sistema di incentivi degli intermediari coinvolti nel collocamento e il fenomeno dell’</w:t>
      </w:r>
      <w:proofErr w:type="spellStart"/>
      <w:r w:rsidRPr="00EC444F">
        <w:rPr>
          <w:i/>
        </w:rPr>
        <w:t>underpricing</w:t>
      </w:r>
      <w:proofErr w:type="spellEnd"/>
      <w:r w:rsidRPr="00EC444F">
        <w:t>;</w:t>
      </w:r>
      <w:r>
        <w:t xml:space="preserve"> analisi delle ragioni economiche sottostanti le tecniche di offerta: </w:t>
      </w:r>
      <w:proofErr w:type="spellStart"/>
      <w:r w:rsidRPr="00EC444F">
        <w:rPr>
          <w:i/>
        </w:rPr>
        <w:t>fixed</w:t>
      </w:r>
      <w:proofErr w:type="spellEnd"/>
      <w:r w:rsidRPr="00EC444F">
        <w:rPr>
          <w:i/>
        </w:rPr>
        <w:t xml:space="preserve"> </w:t>
      </w:r>
      <w:proofErr w:type="spellStart"/>
      <w:r w:rsidRPr="00EC444F">
        <w:rPr>
          <w:i/>
        </w:rPr>
        <w:t>price</w:t>
      </w:r>
      <w:proofErr w:type="spellEnd"/>
      <w:r w:rsidRPr="00EC444F">
        <w:rPr>
          <w:i/>
        </w:rPr>
        <w:t xml:space="preserve"> vs open </w:t>
      </w:r>
      <w:proofErr w:type="spellStart"/>
      <w:r w:rsidRPr="00EC444F">
        <w:rPr>
          <w:i/>
        </w:rPr>
        <w:t>price</w:t>
      </w:r>
      <w:proofErr w:type="spellEnd"/>
      <w:r w:rsidRPr="00EC444F">
        <w:rPr>
          <w:i/>
        </w:rPr>
        <w:t xml:space="preserve">; </w:t>
      </w:r>
      <w:proofErr w:type="spellStart"/>
      <w:r w:rsidRPr="00EC444F">
        <w:rPr>
          <w:i/>
        </w:rPr>
        <w:t>winner’s</w:t>
      </w:r>
      <w:proofErr w:type="spellEnd"/>
      <w:r w:rsidRPr="00EC444F">
        <w:rPr>
          <w:i/>
        </w:rPr>
        <w:t xml:space="preserve"> </w:t>
      </w:r>
      <w:proofErr w:type="spellStart"/>
      <w:r w:rsidRPr="00EC444F">
        <w:rPr>
          <w:i/>
        </w:rPr>
        <w:t>curse</w:t>
      </w:r>
      <w:proofErr w:type="spellEnd"/>
      <w:r w:rsidRPr="00EC444F">
        <w:rPr>
          <w:i/>
        </w:rPr>
        <w:t xml:space="preserve"> </w:t>
      </w:r>
      <w:proofErr w:type="spellStart"/>
      <w:r w:rsidRPr="00EC444F">
        <w:rPr>
          <w:i/>
        </w:rPr>
        <w:t>approach</w:t>
      </w:r>
      <w:proofErr w:type="spellEnd"/>
      <w:r w:rsidRPr="00EC444F">
        <w:rPr>
          <w:i/>
        </w:rPr>
        <w:t xml:space="preserve">; </w:t>
      </w:r>
      <w:proofErr w:type="spellStart"/>
      <w:r w:rsidRPr="00EC444F">
        <w:rPr>
          <w:i/>
        </w:rPr>
        <w:t>bookbuilding</w:t>
      </w:r>
      <w:proofErr w:type="spellEnd"/>
      <w:r w:rsidRPr="00EC444F">
        <w:rPr>
          <w:i/>
        </w:rPr>
        <w:t xml:space="preserve"> vs </w:t>
      </w:r>
      <w:proofErr w:type="spellStart"/>
      <w:r w:rsidRPr="00EC444F">
        <w:rPr>
          <w:i/>
        </w:rPr>
        <w:t>auction</w:t>
      </w:r>
      <w:proofErr w:type="spellEnd"/>
      <w:r>
        <w:t>; l’</w:t>
      </w:r>
      <w:proofErr w:type="spellStart"/>
      <w:r w:rsidRPr="00EC444F">
        <w:rPr>
          <w:i/>
        </w:rPr>
        <w:t>allotment</w:t>
      </w:r>
      <w:proofErr w:type="spellEnd"/>
      <w:r>
        <w:t xml:space="preserve">; la </w:t>
      </w:r>
      <w:proofErr w:type="spellStart"/>
      <w:r w:rsidRPr="00EC444F">
        <w:rPr>
          <w:i/>
        </w:rPr>
        <w:t>greenshoe</w:t>
      </w:r>
      <w:proofErr w:type="spellEnd"/>
      <w:r>
        <w:t xml:space="preserve">. Il processo di IPO dal punto di vista dell’intermediario: </w:t>
      </w:r>
      <w:r w:rsidRPr="0051404E">
        <w:rPr>
          <w:i/>
        </w:rPr>
        <w:t>pitch</w:t>
      </w:r>
      <w:r>
        <w:t xml:space="preserve"> e mandato; il processo di </w:t>
      </w:r>
      <w:r w:rsidRPr="00EC444F">
        <w:rPr>
          <w:i/>
        </w:rPr>
        <w:t>pricing</w:t>
      </w:r>
      <w:r>
        <w:t xml:space="preserve">; la definizione della struttura dell’offerta (OPV vs OPS); il prospetto informativo; la costituzione dei consorzi; </w:t>
      </w:r>
      <w:r w:rsidRPr="00EC444F">
        <w:rPr>
          <w:i/>
        </w:rPr>
        <w:t xml:space="preserve">roadshow </w:t>
      </w:r>
      <w:r>
        <w:t xml:space="preserve">e offerta; gli </w:t>
      </w:r>
      <w:proofErr w:type="spellStart"/>
      <w:r w:rsidRPr="00EC444F">
        <w:rPr>
          <w:i/>
        </w:rPr>
        <w:t>economics</w:t>
      </w:r>
      <w:proofErr w:type="spellEnd"/>
      <w:r>
        <w:t xml:space="preserve"> dell’operazione (commissioni). Analisti finanziari e IPO: l’attività degli analisti finanziari; i modelli di valutazione utilizzati e le fonti dei dati; i conflitti di interesse nell’attività di </w:t>
      </w:r>
      <w:proofErr w:type="spellStart"/>
      <w:r w:rsidRPr="00EC444F">
        <w:rPr>
          <w:i/>
        </w:rPr>
        <w:t>equity</w:t>
      </w:r>
      <w:proofErr w:type="spellEnd"/>
      <w:r w:rsidRPr="00EC444F">
        <w:rPr>
          <w:i/>
        </w:rPr>
        <w:t xml:space="preserve"> </w:t>
      </w:r>
      <w:proofErr w:type="spellStart"/>
      <w:r w:rsidRPr="00EC444F">
        <w:rPr>
          <w:i/>
        </w:rPr>
        <w:t>research</w:t>
      </w:r>
      <w:proofErr w:type="spellEnd"/>
      <w:r>
        <w:t>; la regolamentazione. Analisi di un caso di IPO.</w:t>
      </w:r>
    </w:p>
    <w:p w14:paraId="6B557D37" w14:textId="2251484E" w:rsidR="009251FA" w:rsidRPr="004D1CE3" w:rsidRDefault="009251FA" w:rsidP="004D1CE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32D57">
        <w:rPr>
          <w:rStyle w:val="Rimandonotaapidipagina"/>
          <w:b/>
          <w:i/>
          <w:sz w:val="18"/>
        </w:rPr>
        <w:footnoteReference w:id="1"/>
      </w:r>
    </w:p>
    <w:p w14:paraId="49B18F95" w14:textId="22E0AFE0" w:rsidR="009251FA" w:rsidRPr="009251FA" w:rsidRDefault="009251FA" w:rsidP="009251FA">
      <w:pPr>
        <w:pStyle w:val="Testo1"/>
        <w:spacing w:before="0" w:line="240" w:lineRule="atLeast"/>
        <w:rPr>
          <w:spacing w:val="-5"/>
        </w:rPr>
      </w:pPr>
      <w:r w:rsidRPr="00532D57">
        <w:rPr>
          <w:smallCaps/>
          <w:spacing w:val="-5"/>
          <w:sz w:val="16"/>
          <w:lang w:val="en-US"/>
        </w:rPr>
        <w:t>Arzac,</w:t>
      </w:r>
      <w:r w:rsidRPr="00532D57">
        <w:rPr>
          <w:i/>
          <w:spacing w:val="-5"/>
          <w:lang w:val="en-US"/>
        </w:rPr>
        <w:t xml:space="preserve"> Valuation for mergers, buyouts, and restructuring</w:t>
      </w:r>
      <w:r w:rsidRPr="00532D57">
        <w:rPr>
          <w:spacing w:val="-5"/>
          <w:lang w:val="en-US"/>
        </w:rPr>
        <w:t>, John Wiley &amp; Sons, 2005 (capp. e paragrafi indicati a lezione).</w:t>
      </w:r>
      <w:r w:rsidR="00341507" w:rsidRPr="00532D57">
        <w:rPr>
          <w:spacing w:val="-5"/>
          <w:lang w:val="en-US"/>
        </w:rPr>
        <w:t xml:space="preserve"> </w:t>
      </w:r>
      <w:r w:rsidR="00532D57" w:rsidRPr="00532D57">
        <w:rPr>
          <w:spacing w:val="-5"/>
          <w:lang w:val="en-US"/>
        </w:rPr>
        <w:t xml:space="preserve"> </w:t>
      </w:r>
      <w:hyperlink r:id="rId8" w:history="1">
        <w:r w:rsidR="00532D57" w:rsidRPr="00532D5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BDE107C" w14:textId="77777777" w:rsidR="009251FA" w:rsidRPr="009251FA" w:rsidRDefault="009251FA" w:rsidP="003249B4">
      <w:pPr>
        <w:pStyle w:val="Testo1"/>
        <w:spacing w:before="0"/>
      </w:pPr>
      <w:r w:rsidRPr="009251FA">
        <w:t>Appunti delle lezioni, riferimenti bibliografici, materiale di supporto indicati di volta in volta a lezione. Si segnala che il materiale bibliografico è per la massima parte in lingua inglese.</w:t>
      </w:r>
    </w:p>
    <w:p w14:paraId="512B3837" w14:textId="77777777" w:rsidR="009251FA" w:rsidRDefault="009251FA" w:rsidP="009251F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021887A7" w14:textId="77777777" w:rsidR="009251FA" w:rsidRDefault="009251FA" w:rsidP="003249B4">
      <w:pPr>
        <w:pStyle w:val="Testo2"/>
      </w:pPr>
      <w:r w:rsidRPr="00B23C43">
        <w:t xml:space="preserve">Lezioni frontali (60 ore, articolate su </w:t>
      </w:r>
      <w:r>
        <w:t>5</w:t>
      </w:r>
      <w:r w:rsidRPr="00B23C43">
        <w:t xml:space="preserve"> ore x 1</w:t>
      </w:r>
      <w:r>
        <w:t>2</w:t>
      </w:r>
      <w:r w:rsidRPr="00B23C43">
        <w:t xml:space="preserve"> settimane). Le lezioni includono pres</w:t>
      </w:r>
      <w:r>
        <w:t xml:space="preserve">entazioni di carattere teorico ed </w:t>
      </w:r>
      <w:r w:rsidRPr="00B23C43">
        <w:t>esercitazioni dirette a mostrar</w:t>
      </w:r>
      <w:r>
        <w:t>n</w:t>
      </w:r>
      <w:r w:rsidRPr="00B23C43">
        <w:t>e le applicazioni pratiche.</w:t>
      </w:r>
      <w:r>
        <w:t xml:space="preserve"> </w:t>
      </w:r>
    </w:p>
    <w:p w14:paraId="0218B3D7" w14:textId="77777777" w:rsidR="009251FA" w:rsidRDefault="009251FA" w:rsidP="009251FA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08B7EBFE" w14:textId="77777777" w:rsidR="009251FA" w:rsidRDefault="009251FA" w:rsidP="003249B4">
      <w:pPr>
        <w:pStyle w:val="Testo2"/>
      </w:pPr>
      <w:r>
        <w:t>P</w:t>
      </w:r>
      <w:r w:rsidRPr="00B23C43">
        <w:t>rova scritta nelle date ufficiali d’appello</w:t>
      </w:r>
      <w:r>
        <w:t>, articolata su due</w:t>
      </w:r>
      <w:r w:rsidRPr="00B23C43">
        <w:t xml:space="preserve"> esercizi che richiedono l’effettuazione di calcoli e </w:t>
      </w:r>
      <w:r>
        <w:t>una</w:t>
      </w:r>
      <w:r w:rsidRPr="00B23C43">
        <w:t xml:space="preserve"> domand</w:t>
      </w:r>
      <w:r>
        <w:t>a “teorica”</w:t>
      </w:r>
      <w:r w:rsidRPr="00B23C43">
        <w:t>, te</w:t>
      </w:r>
      <w:r>
        <w:t>ndenzialmente a risposta aperta; anche la domande “teorica” può richiedere lo svolgimento di semplici calcoli.</w:t>
      </w:r>
      <w:r w:rsidRPr="00B23C43">
        <w:t xml:space="preserve"> </w:t>
      </w:r>
      <w:r>
        <w:t>I</w:t>
      </w:r>
      <w:r w:rsidRPr="00B23C43">
        <w:t>l peso di esercizi e domande nella valutazione complessiva dell’esame è, in linea generale, uguale.</w:t>
      </w:r>
      <w:r>
        <w:t xml:space="preserve"> Non sono previste prove intermedie.</w:t>
      </w:r>
    </w:p>
    <w:p w14:paraId="12E5322F" w14:textId="77777777" w:rsidR="009251FA" w:rsidRDefault="009251FA" w:rsidP="009251FA">
      <w:pPr>
        <w:spacing w:before="240" w:after="120" w:line="24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7DC2E8CA" w14:textId="77777777" w:rsidR="009251FA" w:rsidRPr="00B23C43" w:rsidRDefault="009251FA" w:rsidP="004D1CE3">
      <w:pPr>
        <w:ind w:firstLine="284"/>
        <w:rPr>
          <w:i/>
          <w:noProof/>
          <w:sz w:val="18"/>
          <w:szCs w:val="18"/>
        </w:rPr>
      </w:pPr>
      <w:r w:rsidRPr="00B23C43">
        <w:rPr>
          <w:i/>
          <w:noProof/>
          <w:sz w:val="18"/>
          <w:szCs w:val="18"/>
        </w:rPr>
        <w:t>Avvertenze</w:t>
      </w:r>
    </w:p>
    <w:p w14:paraId="3969927A" w14:textId="77777777" w:rsidR="009251FA" w:rsidRPr="00B23C43" w:rsidRDefault="009251FA" w:rsidP="003249B4">
      <w:pPr>
        <w:pStyle w:val="Testo2"/>
      </w:pPr>
      <w:r w:rsidRPr="00B23C43">
        <w:t xml:space="preserve">Una frequenza assidua alle lezioni, accompagnata da studio graduale (e dallo svolgimento degli esercizi segnalati a lezione), rende assai più facile l’apprendimento e il superamento dell’esame. </w:t>
      </w:r>
      <w:r>
        <w:t>Agli studenti frequentanti è data la possibilità di discutere in classe dei casi di studio. Pertanto, g</w:t>
      </w:r>
      <w:r w:rsidRPr="00B23C43">
        <w:t>li studenti sono vivamente invitati a tenere conto di tale fatto nella programmazione delle proprie attività di studio.</w:t>
      </w:r>
    </w:p>
    <w:p w14:paraId="222514C9" w14:textId="77777777" w:rsidR="009251FA" w:rsidRDefault="009251FA" w:rsidP="003249B4">
      <w:pPr>
        <w:pStyle w:val="Testo2"/>
      </w:pPr>
      <w:r w:rsidRPr="00B23C43">
        <w:t xml:space="preserve">Materiale di supporto inclusivo dei più recenti temi d’esame (con tracce di soluzione) è disponibile su </w:t>
      </w:r>
      <w:r w:rsidRPr="00B23C43">
        <w:rPr>
          <w:i/>
        </w:rPr>
        <w:t>Blackboard</w:t>
      </w:r>
      <w:r w:rsidRPr="00B23C43">
        <w:t>.</w:t>
      </w:r>
    </w:p>
    <w:p w14:paraId="039B1AEC" w14:textId="77777777" w:rsidR="001D1EF0" w:rsidRDefault="001D1EF0" w:rsidP="001D1EF0">
      <w:pPr>
        <w:spacing w:before="120"/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>
        <w:rPr>
          <w:i/>
          <w:iCs/>
          <w:color w:val="000000"/>
          <w:sz w:val="18"/>
          <w:szCs w:val="18"/>
        </w:rPr>
        <w:t>distance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learning</w:t>
      </w:r>
      <w:proofErr w:type="spellEnd"/>
      <w:r>
        <w:rPr>
          <w:rFonts w:ascii="Gill Sans MT" w:hAnsi="Gill Sans MT" w:cs="Open Sans"/>
          <w:i/>
          <w:iCs/>
          <w:color w:val="000000"/>
          <w:sz w:val="18"/>
          <w:szCs w:val="18"/>
        </w:rPr>
        <w:t> </w:t>
      </w:r>
      <w:r>
        <w:rPr>
          <w:i/>
          <w:iCs/>
          <w:color w:val="000000"/>
          <w:sz w:val="18"/>
          <w:szCs w:val="18"/>
        </w:rPr>
        <w:t>con modalità che verranno comunicate in tempo utile agli studenti.</w:t>
      </w:r>
    </w:p>
    <w:p w14:paraId="7064702D" w14:textId="77777777" w:rsidR="009251FA" w:rsidRPr="00B23C43" w:rsidRDefault="009251FA" w:rsidP="004D1CE3">
      <w:pPr>
        <w:spacing w:before="120"/>
        <w:ind w:firstLine="284"/>
        <w:rPr>
          <w:i/>
          <w:noProof/>
          <w:sz w:val="18"/>
          <w:szCs w:val="18"/>
        </w:rPr>
      </w:pPr>
      <w:r w:rsidRPr="00B23C43">
        <w:rPr>
          <w:i/>
          <w:noProof/>
          <w:sz w:val="18"/>
          <w:szCs w:val="18"/>
        </w:rPr>
        <w:t>Prerequisiti</w:t>
      </w:r>
    </w:p>
    <w:p w14:paraId="58306123" w14:textId="77777777" w:rsidR="009251FA" w:rsidRPr="009251FA" w:rsidRDefault="009251FA" w:rsidP="003249B4">
      <w:pPr>
        <w:pStyle w:val="Testo2"/>
      </w:pPr>
      <w:r w:rsidRPr="00EC444F">
        <w:t xml:space="preserve">Il corso tratta l’applicazione di concetti presentati nei corsi di </w:t>
      </w:r>
      <w:r w:rsidRPr="00EC444F">
        <w:rPr>
          <w:i/>
        </w:rPr>
        <w:t>Finanza aziendale</w:t>
      </w:r>
      <w:r w:rsidRPr="00EC444F">
        <w:t xml:space="preserve"> e </w:t>
      </w:r>
      <w:r w:rsidRPr="00EC444F">
        <w:rPr>
          <w:i/>
        </w:rPr>
        <w:t>Finanza aziendale (</w:t>
      </w:r>
      <w:r>
        <w:rPr>
          <w:i/>
        </w:rPr>
        <w:t>asset pricing e finanziamento delle imprese</w:t>
      </w:r>
      <w:r w:rsidRPr="00EC444F">
        <w:rPr>
          <w:i/>
        </w:rPr>
        <w:t>)</w:t>
      </w:r>
      <w:r w:rsidRPr="00EC444F">
        <w:t xml:space="preserve">, che sono pertanto da intendersi come strettamente propedeutici. Per poter utilmente seguire le lezioni, è consigliabile avere preventivamente seguito altresì il corso di </w:t>
      </w:r>
      <w:r w:rsidRPr="00EC444F">
        <w:rPr>
          <w:i/>
        </w:rPr>
        <w:t>Mode</w:t>
      </w:r>
      <w:r>
        <w:rPr>
          <w:i/>
        </w:rPr>
        <w:t>lli per i mercati finanziari –</w:t>
      </w:r>
      <w:r w:rsidRPr="00EC444F">
        <w:rPr>
          <w:i/>
        </w:rPr>
        <w:t xml:space="preserve"> strumenti derivati</w:t>
      </w:r>
      <w:r w:rsidRPr="00EC444F">
        <w:t xml:space="preserve">, il superamento del cui esame costituisce comunque un importante prerequisito per l’assegnazione della tesi di laurea magistrale in </w:t>
      </w:r>
      <w:r w:rsidRPr="00EC444F">
        <w:rPr>
          <w:i/>
        </w:rPr>
        <w:t>Finanza aziendale</w:t>
      </w:r>
      <w:r w:rsidRPr="00EC444F">
        <w:t>.</w:t>
      </w:r>
    </w:p>
    <w:sectPr w:rsidR="009251FA" w:rsidRPr="009251F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9F128" w14:textId="77777777" w:rsidR="00341507" w:rsidRDefault="00341507" w:rsidP="00341507">
      <w:r>
        <w:separator/>
      </w:r>
    </w:p>
  </w:endnote>
  <w:endnote w:type="continuationSeparator" w:id="0">
    <w:p w14:paraId="6ADD28F0" w14:textId="77777777" w:rsidR="00341507" w:rsidRDefault="00341507" w:rsidP="0034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B600B" w14:textId="77777777" w:rsidR="00341507" w:rsidRDefault="00341507" w:rsidP="00341507">
      <w:r>
        <w:separator/>
      </w:r>
    </w:p>
  </w:footnote>
  <w:footnote w:type="continuationSeparator" w:id="0">
    <w:p w14:paraId="5158780F" w14:textId="77777777" w:rsidR="00341507" w:rsidRDefault="00341507" w:rsidP="00341507">
      <w:r>
        <w:continuationSeparator/>
      </w:r>
    </w:p>
  </w:footnote>
  <w:footnote w:id="1">
    <w:p w14:paraId="234FA331" w14:textId="2D6735ED" w:rsidR="00532D57" w:rsidRDefault="00532D5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11"/>
    <w:rsid w:val="00187B99"/>
    <w:rsid w:val="001D1EF0"/>
    <w:rsid w:val="002014DD"/>
    <w:rsid w:val="002D5E17"/>
    <w:rsid w:val="003249B4"/>
    <w:rsid w:val="00341507"/>
    <w:rsid w:val="0036753D"/>
    <w:rsid w:val="004D1217"/>
    <w:rsid w:val="004D1CE3"/>
    <w:rsid w:val="004D6008"/>
    <w:rsid w:val="00532D57"/>
    <w:rsid w:val="00640794"/>
    <w:rsid w:val="006F1772"/>
    <w:rsid w:val="008942E7"/>
    <w:rsid w:val="008A1204"/>
    <w:rsid w:val="00900CCA"/>
    <w:rsid w:val="00924B77"/>
    <w:rsid w:val="009251FA"/>
    <w:rsid w:val="00940DA2"/>
    <w:rsid w:val="009D7E11"/>
    <w:rsid w:val="009E055C"/>
    <w:rsid w:val="00A74F6F"/>
    <w:rsid w:val="00AA2380"/>
    <w:rsid w:val="00AD7557"/>
    <w:rsid w:val="00B3021B"/>
    <w:rsid w:val="00B50C5D"/>
    <w:rsid w:val="00B51253"/>
    <w:rsid w:val="00B525CC"/>
    <w:rsid w:val="00CF4614"/>
    <w:rsid w:val="00D404F2"/>
    <w:rsid w:val="00E607E6"/>
    <w:rsid w:val="00E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2E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E11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341507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41507"/>
  </w:style>
  <w:style w:type="character" w:styleId="Rimandonotaapidipagina">
    <w:name w:val="footnote reference"/>
    <w:basedOn w:val="Carpredefinitoparagrafo"/>
    <w:rsid w:val="00341507"/>
    <w:rPr>
      <w:vertAlign w:val="superscript"/>
    </w:rPr>
  </w:style>
  <w:style w:type="character" w:styleId="Collegamentoipertestuale">
    <w:name w:val="Hyperlink"/>
    <w:basedOn w:val="Carpredefinitoparagrafo"/>
    <w:rsid w:val="003415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E11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341507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41507"/>
  </w:style>
  <w:style w:type="character" w:styleId="Rimandonotaapidipagina">
    <w:name w:val="footnote reference"/>
    <w:basedOn w:val="Carpredefinitoparagrafo"/>
    <w:rsid w:val="00341507"/>
    <w:rPr>
      <w:vertAlign w:val="superscript"/>
    </w:rPr>
  </w:style>
  <w:style w:type="character" w:styleId="Collegamentoipertestuale">
    <w:name w:val="Hyperlink"/>
    <w:basedOn w:val="Carpredefinitoparagrafo"/>
    <w:rsid w:val="003415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rzac/valuation-for-mergers-buyouts-and-restructuring-9780470128893-18880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48940-99DA-4353-9E04-2C009CEC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944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8</cp:revision>
  <cp:lastPrinted>2003-03-27T10:42:00Z</cp:lastPrinted>
  <dcterms:created xsi:type="dcterms:W3CDTF">2020-05-27T10:07:00Z</dcterms:created>
  <dcterms:modified xsi:type="dcterms:W3CDTF">2022-07-25T08:31:00Z</dcterms:modified>
</cp:coreProperties>
</file>