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20D7" w14:textId="77777777" w:rsidR="00E85510" w:rsidRPr="00CF6976" w:rsidRDefault="00E85510" w:rsidP="00E85510">
      <w:pPr>
        <w:pStyle w:val="Titolo1"/>
        <w:rPr>
          <w:rFonts w:ascii="Times New Roman" w:hAnsi="Times New Roman"/>
        </w:rPr>
      </w:pPr>
      <w:r w:rsidRPr="00CF6976">
        <w:rPr>
          <w:rFonts w:ascii="Times New Roman" w:hAnsi="Times New Roman"/>
        </w:rPr>
        <w:t>Economia monetaria</w:t>
      </w:r>
    </w:p>
    <w:p w14:paraId="3559B1DF" w14:textId="77777777" w:rsidR="00E85510" w:rsidRPr="003D3152" w:rsidRDefault="00E85510" w:rsidP="00E85510">
      <w:pPr>
        <w:pStyle w:val="Titolo2"/>
        <w:rPr>
          <w:rFonts w:ascii="Times New Roman" w:hAnsi="Times New Roman"/>
          <w:szCs w:val="18"/>
        </w:rPr>
      </w:pPr>
      <w:r w:rsidRPr="003D3152">
        <w:rPr>
          <w:rFonts w:ascii="Times New Roman" w:hAnsi="Times New Roman"/>
          <w:szCs w:val="18"/>
        </w:rPr>
        <w:t>Prof. Andrea Terzi</w:t>
      </w:r>
    </w:p>
    <w:p w14:paraId="4D0982B7" w14:textId="77777777" w:rsidR="00E85510" w:rsidRPr="00E57568" w:rsidRDefault="00E85510" w:rsidP="00E85510">
      <w:pPr>
        <w:spacing w:before="240" w:after="120" w:line="240" w:lineRule="exact"/>
        <w:rPr>
          <w:b/>
          <w:sz w:val="18"/>
        </w:rPr>
      </w:pPr>
      <w:r w:rsidRPr="00E57568">
        <w:rPr>
          <w:b/>
          <w:i/>
          <w:sz w:val="18"/>
        </w:rPr>
        <w:t>OBIETTIVO DEL CORSO E RISULTATI DI APPRENDIMENTO ATTESI</w:t>
      </w:r>
    </w:p>
    <w:p w14:paraId="00E883FF" w14:textId="77777777" w:rsidR="00E85510" w:rsidRDefault="00E85510" w:rsidP="00E85510">
      <w:pPr>
        <w:spacing w:line="240" w:lineRule="exact"/>
      </w:pPr>
      <w:r w:rsidRPr="00D3077D">
        <w:t xml:space="preserve">L’insegnamento si propone di fornire </w:t>
      </w:r>
      <w:r w:rsidRPr="00E57568">
        <w:t>allo studente gli strumenti fondamentali per la comprensione del significato e delle conseguenze dei flussi monetari e delle consistenze finanziarie, introducendo lo studente al dibattito teorico e alla pratica del</w:t>
      </w:r>
      <w:r>
        <w:t xml:space="preserve"> governo della moneta, e quindi agli </w:t>
      </w:r>
      <w:r w:rsidRPr="00E57568">
        <w:t xml:space="preserve">effetti </w:t>
      </w:r>
      <w:r>
        <w:t xml:space="preserve">della </w:t>
      </w:r>
      <w:r w:rsidRPr="00E57568">
        <w:t>politica monetaria</w:t>
      </w:r>
      <w:r>
        <w:t xml:space="preserve"> sui </w:t>
      </w:r>
      <w:r w:rsidRPr="00E57568">
        <w:t xml:space="preserve">mercati finanziari e </w:t>
      </w:r>
      <w:r>
        <w:t xml:space="preserve">sulle </w:t>
      </w:r>
      <w:r w:rsidRPr="00E57568">
        <w:t>variabili macroeconomiche</w:t>
      </w:r>
      <w:r>
        <w:t>, e alle conseguenze monetarie della politica fiscale</w:t>
      </w:r>
      <w:r w:rsidRPr="00E57568">
        <w:t xml:space="preserve">. </w:t>
      </w:r>
    </w:p>
    <w:p w14:paraId="731C751F" w14:textId="77777777" w:rsidR="00E85510" w:rsidRPr="00E57568" w:rsidRDefault="00E85510" w:rsidP="00E85510">
      <w:pPr>
        <w:spacing w:before="120" w:line="240" w:lineRule="exact"/>
      </w:pPr>
      <w:r w:rsidRPr="002C304D">
        <w:t>Al termine dell’insegnamento,</w:t>
      </w:r>
      <w:r w:rsidRPr="00E57568">
        <w:t xml:space="preserve"> lo studente sarà in grado di descrivere la meccanica fondamentale del sistema dei pagamenti, illustrare le principali tecniche di politica monetaria convenzionale, </w:t>
      </w:r>
      <w:r>
        <w:t xml:space="preserve">delineare l’assetto operativo dell’Eurosistema, </w:t>
      </w:r>
      <w:r w:rsidRPr="00E57568">
        <w:t xml:space="preserve">indicare le variabili che spiegano la struttura dei tassi d’interesse, confrontare diverse ipotesi sul ruolo degli aggregati monetari </w:t>
      </w:r>
      <w:r>
        <w:t xml:space="preserve">e dei tassi d’interesse </w:t>
      </w:r>
      <w:r w:rsidRPr="00E57568">
        <w:t>in modelli macroeconomici alternativi, delineare le caratteristiche delle politiche non convenzionali ed esprimere una valutazione sull’efficacia dei canali di trasmissione della politica monetaria</w:t>
      </w:r>
      <w:r>
        <w:t xml:space="preserve"> e fiscale</w:t>
      </w:r>
      <w:r w:rsidRPr="00E57568">
        <w:t>.</w:t>
      </w:r>
    </w:p>
    <w:p w14:paraId="25C61BE7" w14:textId="77777777" w:rsidR="00E85510" w:rsidRPr="00E57568" w:rsidRDefault="00E85510" w:rsidP="00E85510">
      <w:pPr>
        <w:spacing w:before="240" w:after="120" w:line="240" w:lineRule="exact"/>
        <w:rPr>
          <w:b/>
          <w:sz w:val="18"/>
        </w:rPr>
      </w:pPr>
      <w:r w:rsidRPr="00E57568">
        <w:rPr>
          <w:b/>
          <w:i/>
          <w:sz w:val="18"/>
        </w:rPr>
        <w:t>PROGRAMMA DEL CORSO</w:t>
      </w:r>
    </w:p>
    <w:p w14:paraId="3C2932AD" w14:textId="77777777" w:rsidR="00E85510" w:rsidRPr="00272848" w:rsidRDefault="00E85510" w:rsidP="00E85510">
      <w:pPr>
        <w:pStyle w:val="Indice"/>
        <w:rPr>
          <w:rFonts w:ascii="Times New Roman" w:hAnsi="Times New Roman" w:cs="Times New Roman"/>
          <w:b/>
          <w:szCs w:val="20"/>
        </w:rPr>
      </w:pPr>
      <w:r w:rsidRPr="00272848">
        <w:rPr>
          <w:rFonts w:ascii="Times New Roman" w:hAnsi="Times New Roman" w:cs="Times New Roman"/>
          <w:b/>
          <w:szCs w:val="20"/>
        </w:rPr>
        <w:t>La dimensione monetaria dell’economia</w:t>
      </w:r>
    </w:p>
    <w:p w14:paraId="1389F4D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Transazioni economiche e finanziarie</w:t>
      </w:r>
    </w:p>
    <w:p w14:paraId="2E817A7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attività di regolamento</w:t>
      </w:r>
    </w:p>
    <w:p w14:paraId="3845370C"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Contabilità economica e finanziaria</w:t>
      </w:r>
    </w:p>
    <w:p w14:paraId="525DAA30" w14:textId="77777777" w:rsidR="00E85510" w:rsidRPr="00272848" w:rsidRDefault="00E85510" w:rsidP="00E85510">
      <w:pPr>
        <w:spacing w:before="120"/>
        <w:rPr>
          <w:b/>
          <w:szCs w:val="20"/>
        </w:rPr>
      </w:pPr>
      <w:r w:rsidRPr="00272848">
        <w:rPr>
          <w:b/>
          <w:szCs w:val="20"/>
        </w:rPr>
        <w:t>Il regolamento dei pagamenti</w:t>
      </w:r>
    </w:p>
    <w:p w14:paraId="6E56E3A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Moneta bancaria e moneta della banca centrale</w:t>
      </w:r>
    </w:p>
    <w:p w14:paraId="166967C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Il regolamento interbancario</w:t>
      </w:r>
    </w:p>
    <w:p w14:paraId="64BFD20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pagamenti internazionali</w:t>
      </w:r>
    </w:p>
    <w:p w14:paraId="2DE8427C" w14:textId="77777777" w:rsidR="00E85510" w:rsidRPr="00272848" w:rsidRDefault="00E85510" w:rsidP="00E85510">
      <w:pPr>
        <w:spacing w:before="120"/>
        <w:rPr>
          <w:b/>
          <w:szCs w:val="20"/>
        </w:rPr>
      </w:pPr>
      <w:r w:rsidRPr="00272848">
        <w:rPr>
          <w:b/>
          <w:szCs w:val="20"/>
        </w:rPr>
        <w:t>Gli aggregati monetari e finanziari</w:t>
      </w:r>
    </w:p>
    <w:p w14:paraId="424B6BE2"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Passività private e passività monetarie</w:t>
      </w:r>
    </w:p>
    <w:p w14:paraId="627698F6"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Credito e depositi bancari</w:t>
      </w:r>
    </w:p>
    <w:p w14:paraId="7AD709BA"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Banca centrale e finanziamento del sistema</w:t>
      </w:r>
    </w:p>
    <w:p w14:paraId="269D2825" w14:textId="77777777" w:rsidR="00E85510" w:rsidRPr="00272848" w:rsidRDefault="00E85510" w:rsidP="00E85510">
      <w:pPr>
        <w:spacing w:before="120"/>
        <w:rPr>
          <w:b/>
          <w:szCs w:val="20"/>
        </w:rPr>
      </w:pPr>
      <w:r w:rsidRPr="00272848">
        <w:rPr>
          <w:b/>
          <w:szCs w:val="20"/>
        </w:rPr>
        <w:t>I tassi d’interesse ufficiali e i rendimenti di mercato</w:t>
      </w:r>
    </w:p>
    <w:p w14:paraId="7619EBC7"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tassi ufficiali della banca centrale</w:t>
      </w:r>
    </w:p>
    <w:p w14:paraId="5B77376A"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Gli assetti operativi della politica monetaria</w:t>
      </w:r>
    </w:p>
    <w:p w14:paraId="0795BCB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Politica monetaria e struttura a termine dei rendimenti</w:t>
      </w:r>
    </w:p>
    <w:p w14:paraId="167699B2" w14:textId="77777777" w:rsidR="00E85510" w:rsidRPr="00272848" w:rsidRDefault="00E85510" w:rsidP="00E85510">
      <w:pPr>
        <w:spacing w:before="120"/>
        <w:rPr>
          <w:b/>
          <w:szCs w:val="20"/>
        </w:rPr>
      </w:pPr>
      <w:r w:rsidRPr="00272848">
        <w:rPr>
          <w:b/>
          <w:szCs w:val="20"/>
        </w:rPr>
        <w:lastRenderedPageBreak/>
        <w:t xml:space="preserve">La politica monetaria della Banca Centrale Europea </w:t>
      </w:r>
    </w:p>
    <w:p w14:paraId="5EF2FEE1"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Strumenti e operatività pre-crisi</w:t>
      </w:r>
    </w:p>
    <w:p w14:paraId="2B28E6F0"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politiche di bilancio passive e attive</w:t>
      </w:r>
    </w:p>
    <w:p w14:paraId="5B305FED"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w:t>
      </w:r>
      <w:r>
        <w:rPr>
          <w:rFonts w:ascii="Times New Roman" w:hAnsi="Times New Roman" w:cs="Times New Roman"/>
          <w:szCs w:val="20"/>
        </w:rPr>
        <w:t xml:space="preserve">a risposta della politica monetaria alla </w:t>
      </w:r>
      <w:r w:rsidRPr="00272848">
        <w:rPr>
          <w:rFonts w:ascii="Times New Roman" w:hAnsi="Times New Roman" w:cs="Times New Roman"/>
          <w:szCs w:val="20"/>
        </w:rPr>
        <w:t>pandemia</w:t>
      </w:r>
    </w:p>
    <w:p w14:paraId="69DCDFA9" w14:textId="77777777" w:rsidR="00E85510" w:rsidRPr="00272848" w:rsidRDefault="00E85510" w:rsidP="00E85510">
      <w:pPr>
        <w:spacing w:before="120"/>
        <w:rPr>
          <w:b/>
          <w:szCs w:val="20"/>
        </w:rPr>
      </w:pPr>
      <w:r>
        <w:rPr>
          <w:b/>
          <w:szCs w:val="20"/>
        </w:rPr>
        <w:t xml:space="preserve">Metodi e problemi di </w:t>
      </w:r>
      <w:r w:rsidRPr="00272848">
        <w:rPr>
          <w:b/>
          <w:szCs w:val="20"/>
        </w:rPr>
        <w:t>teoria monetaria</w:t>
      </w:r>
    </w:p>
    <w:p w14:paraId="597D4B0F"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Dimensione monetaria e reale</w:t>
      </w:r>
      <w:r>
        <w:rPr>
          <w:rFonts w:ascii="Times New Roman" w:hAnsi="Times New Roman" w:cs="Times New Roman"/>
          <w:szCs w:val="20"/>
        </w:rPr>
        <w:t xml:space="preserve"> del sistema economico</w:t>
      </w:r>
    </w:p>
    <w:p w14:paraId="36B5512C" w14:textId="77777777" w:rsidR="00E85510" w:rsidRDefault="00E85510" w:rsidP="00E85510">
      <w:pPr>
        <w:pStyle w:val="Indice"/>
        <w:rPr>
          <w:rFonts w:ascii="Times New Roman" w:hAnsi="Times New Roman" w:cs="Times New Roman"/>
          <w:szCs w:val="20"/>
        </w:rPr>
      </w:pPr>
      <w:r>
        <w:rPr>
          <w:rFonts w:ascii="Times New Roman" w:hAnsi="Times New Roman" w:cs="Times New Roman"/>
          <w:szCs w:val="20"/>
        </w:rPr>
        <w:t>La moneta nell’equilibrio economico generale</w:t>
      </w:r>
    </w:p>
    <w:p w14:paraId="64F7CCD7" w14:textId="77777777" w:rsidR="00E85510" w:rsidRPr="00272848" w:rsidRDefault="00E85510" w:rsidP="00E85510">
      <w:pPr>
        <w:pStyle w:val="Indice"/>
        <w:rPr>
          <w:rFonts w:ascii="Times New Roman" w:hAnsi="Times New Roman" w:cs="Times New Roman"/>
          <w:szCs w:val="20"/>
        </w:rPr>
      </w:pPr>
      <w:r>
        <w:rPr>
          <w:rFonts w:ascii="Times New Roman" w:hAnsi="Times New Roman" w:cs="Times New Roman"/>
          <w:szCs w:val="20"/>
        </w:rPr>
        <w:t>Il dibattito</w:t>
      </w:r>
      <w:r w:rsidRPr="00272848">
        <w:rPr>
          <w:rFonts w:ascii="Times New Roman" w:hAnsi="Times New Roman" w:cs="Times New Roman"/>
          <w:szCs w:val="20"/>
        </w:rPr>
        <w:t xml:space="preserve"> </w:t>
      </w:r>
      <w:r>
        <w:rPr>
          <w:rFonts w:ascii="Times New Roman" w:hAnsi="Times New Roman" w:cs="Times New Roman"/>
          <w:szCs w:val="20"/>
        </w:rPr>
        <w:t xml:space="preserve">sulla natura e le conseguenze del </w:t>
      </w:r>
      <w:r w:rsidRPr="00272848">
        <w:rPr>
          <w:rFonts w:ascii="Times New Roman" w:hAnsi="Times New Roman" w:cs="Times New Roman"/>
          <w:szCs w:val="20"/>
        </w:rPr>
        <w:t>risparmio</w:t>
      </w:r>
      <w:r>
        <w:rPr>
          <w:rFonts w:ascii="Times New Roman" w:hAnsi="Times New Roman" w:cs="Times New Roman"/>
          <w:szCs w:val="20"/>
        </w:rPr>
        <w:t xml:space="preserve"> finanziario</w:t>
      </w:r>
    </w:p>
    <w:p w14:paraId="117A355E" w14:textId="77777777" w:rsidR="00E85510" w:rsidRPr="00272848" w:rsidRDefault="00E85510" w:rsidP="00E85510">
      <w:pPr>
        <w:spacing w:before="120"/>
        <w:rPr>
          <w:b/>
          <w:szCs w:val="20"/>
        </w:rPr>
      </w:pPr>
      <w:r>
        <w:rPr>
          <w:b/>
          <w:szCs w:val="20"/>
        </w:rPr>
        <w:t>Le p</w:t>
      </w:r>
      <w:r w:rsidRPr="00272848">
        <w:rPr>
          <w:b/>
          <w:szCs w:val="20"/>
        </w:rPr>
        <w:t>olitiche per il governo della moneta</w:t>
      </w:r>
    </w:p>
    <w:p w14:paraId="185E01C9"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Ricette monetariste e keynesiane</w:t>
      </w:r>
    </w:p>
    <w:p w14:paraId="69773D0E"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 xml:space="preserve">Effetti e limiti della politica monetaria </w:t>
      </w:r>
    </w:p>
    <w:p w14:paraId="1E6E3567" w14:textId="77777777"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Effetti e limiti della politica fiscale</w:t>
      </w:r>
    </w:p>
    <w:p w14:paraId="050378CD" w14:textId="6462677B" w:rsidR="00E85510" w:rsidRPr="00E57568" w:rsidRDefault="00E85510" w:rsidP="00E85510">
      <w:pPr>
        <w:spacing w:before="240" w:after="120"/>
        <w:rPr>
          <w:b/>
          <w:i/>
          <w:sz w:val="18"/>
        </w:rPr>
      </w:pPr>
      <w:r w:rsidRPr="00E57568">
        <w:rPr>
          <w:b/>
          <w:i/>
          <w:sz w:val="18"/>
        </w:rPr>
        <w:t>BIBLIOGRAFIA</w:t>
      </w:r>
      <w:r w:rsidR="004118C8">
        <w:rPr>
          <w:rStyle w:val="Rimandonotaapidipagina"/>
          <w:b/>
          <w:i/>
          <w:sz w:val="18"/>
        </w:rPr>
        <w:footnoteReference w:id="1"/>
      </w:r>
    </w:p>
    <w:p w14:paraId="713E15C7" w14:textId="77777777" w:rsidR="00E85510" w:rsidRPr="00E57568" w:rsidRDefault="00E85510" w:rsidP="00E85510">
      <w:pPr>
        <w:pStyle w:val="Testo1"/>
        <w:spacing w:before="0"/>
      </w:pPr>
      <w:r w:rsidRPr="00E57568">
        <w:t xml:space="preserve">Banca Centrale Europea (2004). </w:t>
      </w:r>
      <w:r w:rsidRPr="00E57568">
        <w:rPr>
          <w:i/>
        </w:rPr>
        <w:t>L’attuazione della politica monetaria</w:t>
      </w:r>
      <w:r w:rsidRPr="00E57568">
        <w:t xml:space="preserve">, Capitolo 4 di </w:t>
      </w:r>
      <w:r w:rsidRPr="00E57568">
        <w:rPr>
          <w:i/>
        </w:rPr>
        <w:t>La politica monetaria della BCE,</w:t>
      </w:r>
      <w:r w:rsidRPr="00E57568">
        <w:t xml:space="preserve"> con integrazioni da </w:t>
      </w:r>
      <w:r w:rsidRPr="00E57568">
        <w:rPr>
          <w:i/>
        </w:rPr>
        <w:t>Monetary policy implementation</w:t>
      </w:r>
      <w:r w:rsidRPr="00E57568">
        <w:t xml:space="preserve">, Capitolo 4 di European Central Bank (2011) </w:t>
      </w:r>
      <w:r w:rsidRPr="00E57568">
        <w:rPr>
          <w:i/>
        </w:rPr>
        <w:t>The Monetary Policy of the ECB</w:t>
      </w:r>
      <w:r w:rsidRPr="00E57568">
        <w:t>.</w:t>
      </w:r>
    </w:p>
    <w:p w14:paraId="75D6742B" w14:textId="77777777" w:rsidR="00E85510" w:rsidRPr="00E57568" w:rsidRDefault="00E85510" w:rsidP="00E85510">
      <w:pPr>
        <w:pStyle w:val="Testo1"/>
        <w:spacing w:before="0"/>
      </w:pPr>
      <w:r w:rsidRPr="00E57568">
        <w:t xml:space="preserve">Banca Centrale Europea (2015). </w:t>
      </w:r>
      <w:r w:rsidRPr="00E57568">
        <w:rPr>
          <w:i/>
        </w:rPr>
        <w:t>Il ruolo del bilancio della banca centrale nella politica monetaria</w:t>
      </w:r>
      <w:r w:rsidRPr="00E57568">
        <w:t>, Bollettino Economico, N.4</w:t>
      </w:r>
      <w:r>
        <w:t xml:space="preserve">, </w:t>
      </w:r>
      <w:r w:rsidRPr="00B24722">
        <w:t>pp.69-88</w:t>
      </w:r>
      <w:r w:rsidRPr="00E57568">
        <w:t>.</w:t>
      </w:r>
    </w:p>
    <w:p w14:paraId="3F337FA5" w14:textId="05966A4D" w:rsidR="00E85510" w:rsidRPr="00E57568" w:rsidRDefault="00E85510" w:rsidP="00E85510">
      <w:pPr>
        <w:pStyle w:val="Testo1"/>
        <w:spacing w:before="0"/>
      </w:pPr>
      <w:r w:rsidRPr="00E57568">
        <w:rPr>
          <w:lang w:val="en-US"/>
        </w:rPr>
        <w:t xml:space="preserve">Mishkin, F. S.-S. G. Eakins-G. </w:t>
      </w:r>
      <w:r w:rsidRPr="003A3474">
        <w:t xml:space="preserve">Forestieri (2015). </w:t>
      </w:r>
      <w:r w:rsidRPr="00E57568">
        <w:rPr>
          <w:i/>
        </w:rPr>
        <w:t>Istituzioni e mercati finanziari</w:t>
      </w:r>
      <w:r>
        <w:t xml:space="preserve">, Pearson Prentice Hall: </w:t>
      </w:r>
      <w:r w:rsidRPr="00761034">
        <w:rPr>
          <w:u w:val="single"/>
        </w:rPr>
        <w:t>Solo Capitolo 3, Capitolo 5, e Capitolo 9</w:t>
      </w:r>
      <w:r>
        <w:rPr>
          <w:u w:val="single"/>
        </w:rPr>
        <w:t xml:space="preserve"> </w:t>
      </w:r>
      <w:r w:rsidR="004118C8">
        <w:rPr>
          <w:u w:val="single"/>
        </w:rPr>
        <w:t xml:space="preserve"> </w:t>
      </w:r>
      <w:hyperlink r:id="rId8" w:history="1">
        <w:r w:rsidR="004118C8" w:rsidRPr="004118C8">
          <w:rPr>
            <w:rStyle w:val="Collegamentoipertestuale"/>
            <w:rFonts w:ascii="Times New Roman" w:hAnsi="Times New Roman"/>
            <w:i/>
            <w:sz w:val="16"/>
            <w:szCs w:val="16"/>
          </w:rPr>
          <w:t>Acquista da VP</w:t>
        </w:r>
      </w:hyperlink>
    </w:p>
    <w:p w14:paraId="35B4B7AE" w14:textId="046D93D1" w:rsidR="00E85510" w:rsidRPr="00E57568" w:rsidRDefault="00E85510" w:rsidP="00E85510">
      <w:pPr>
        <w:pStyle w:val="Testo1"/>
        <w:spacing w:before="0"/>
      </w:pPr>
      <w:r w:rsidRPr="00CF7129">
        <w:t>Terzi, A. (202</w:t>
      </w:r>
      <w:r w:rsidR="00064DFC">
        <w:t>3, in via di pubblicazione</w:t>
      </w:r>
      <w:r w:rsidRPr="00CF7129">
        <w:t xml:space="preserve">). </w:t>
      </w:r>
      <w:r w:rsidRPr="00CF7129">
        <w:rPr>
          <w:i/>
        </w:rPr>
        <w:t>Il governo della moneta</w:t>
      </w:r>
      <w:r w:rsidRPr="00CF7129">
        <w:t xml:space="preserve">, </w:t>
      </w:r>
      <w:r w:rsidR="00064DFC">
        <w:t xml:space="preserve">Seconda edizione, </w:t>
      </w:r>
      <w:r w:rsidRPr="00CF7129">
        <w:t>Giappichelli, Torino.</w:t>
      </w:r>
      <w:r w:rsidR="004118C8">
        <w:t xml:space="preserve"> </w:t>
      </w:r>
      <w:hyperlink r:id="rId9" w:history="1">
        <w:r w:rsidR="004118C8" w:rsidRPr="004118C8">
          <w:rPr>
            <w:rStyle w:val="Collegamentoipertestuale"/>
            <w:rFonts w:ascii="Times New Roman" w:hAnsi="Times New Roman"/>
            <w:i/>
            <w:sz w:val="16"/>
            <w:szCs w:val="16"/>
          </w:rPr>
          <w:t>Acquista da VP</w:t>
        </w:r>
      </w:hyperlink>
      <w:bookmarkStart w:id="0" w:name="_GoBack"/>
      <w:bookmarkEnd w:id="0"/>
    </w:p>
    <w:p w14:paraId="70F766C6" w14:textId="77777777" w:rsidR="00E85510" w:rsidRPr="00E57568" w:rsidRDefault="00E85510" w:rsidP="00E85510">
      <w:pPr>
        <w:pStyle w:val="Testo1"/>
        <w:spacing w:before="0"/>
      </w:pPr>
      <w:r w:rsidRPr="00E57568">
        <w:t>Slides del docente.</w:t>
      </w:r>
    </w:p>
    <w:p w14:paraId="5E2EAE97" w14:textId="77777777" w:rsidR="00E85510" w:rsidRPr="00E57568" w:rsidRDefault="00E85510" w:rsidP="00E85510">
      <w:pPr>
        <w:spacing w:before="240" w:after="120"/>
        <w:rPr>
          <w:b/>
          <w:i/>
          <w:sz w:val="18"/>
        </w:rPr>
      </w:pPr>
      <w:r w:rsidRPr="00E57568">
        <w:rPr>
          <w:b/>
          <w:i/>
          <w:sz w:val="18"/>
        </w:rPr>
        <w:t>DIDATTICA DEL CORSO</w:t>
      </w:r>
    </w:p>
    <w:p w14:paraId="3FECD004" w14:textId="77777777" w:rsidR="00E85510" w:rsidRPr="00E57568" w:rsidRDefault="00E85510" w:rsidP="00E85510">
      <w:pPr>
        <w:pStyle w:val="Testo2"/>
      </w:pPr>
      <w:r w:rsidRPr="00E57568">
        <w:t xml:space="preserve">Lezioni frontali, utilizzo della piattaforma Blackboard. </w:t>
      </w:r>
    </w:p>
    <w:p w14:paraId="7AF4F846" w14:textId="77777777" w:rsidR="00E85510" w:rsidRPr="00E57568" w:rsidRDefault="00E85510" w:rsidP="00E85510">
      <w:pPr>
        <w:spacing w:before="240" w:after="120"/>
        <w:rPr>
          <w:b/>
          <w:i/>
          <w:sz w:val="18"/>
        </w:rPr>
      </w:pPr>
      <w:r w:rsidRPr="00E57568">
        <w:rPr>
          <w:b/>
          <w:i/>
          <w:sz w:val="18"/>
        </w:rPr>
        <w:t>METODO E CRITERI DI VALUTAZIONE</w:t>
      </w:r>
    </w:p>
    <w:p w14:paraId="22E598EE" w14:textId="77777777" w:rsidR="00E85510" w:rsidRDefault="00E85510" w:rsidP="00E85510">
      <w:pPr>
        <w:pStyle w:val="Testo2"/>
      </w:pPr>
      <w:r w:rsidRPr="00E57568">
        <w:t xml:space="preserve">La valutazione delle conoscenze avviene sulla base di una prova scritta articolata in quesiti </w:t>
      </w:r>
      <w:r>
        <w:t>ed esercizi applicativi, sia con risposte aperte che con risposte chiuse</w:t>
      </w:r>
      <w:r w:rsidRPr="00E57568">
        <w:t xml:space="preserve">. </w:t>
      </w:r>
      <w:r>
        <w:t xml:space="preserve">Una prova orale può essere richiesta, a discrezione della Commissione, a verifica del voto della prova scritta. È prevista una prova intermedia, aperta a tutti gli iscritti, il cui punteggio peserà per 1/3 sul voto finale esclusivamente per quei candidati che sostengano la prova finale nel primo appello della sessione estiva, e a condizione che il voto sia superiore a quello ottenuto nella prova finale. Dopo tale data, il voto della prova intermedia decadrà. </w:t>
      </w:r>
      <w:r w:rsidRPr="00E57568">
        <w:t>Ulteriori indicazioni saranno pubblicate su Blackboard.</w:t>
      </w:r>
    </w:p>
    <w:p w14:paraId="5D28B3E8" w14:textId="77777777" w:rsidR="00E85510" w:rsidRPr="00E57568" w:rsidRDefault="00E85510" w:rsidP="00E85510">
      <w:pPr>
        <w:pStyle w:val="Testo2"/>
      </w:pPr>
      <w:r w:rsidRPr="00E57568">
        <w:lastRenderedPageBreak/>
        <w:t xml:space="preserve">L’esame finale mira a valutare la preparazione dello studente in relazione agli obiettivi didattici. Attraverso domande sui punti significativi del programma si accerterà il livello di conoscenza complessiva acquisita dal candidato/a e la sua capacità di affrontare criticamente gli argomenti studiati anche mettendo in relazione le diverse parti del programma. Alla formulazione del voto concorrono l’organizzazione logica, la capacità di analisi, l’abilità di sintesi e la proprietà di linguaggio dimostrate nello svolgimento degli argomenti. </w:t>
      </w:r>
    </w:p>
    <w:p w14:paraId="7D8AB620" w14:textId="77777777" w:rsidR="00E85510" w:rsidRPr="00E57568" w:rsidRDefault="00E85510" w:rsidP="00E85510">
      <w:pPr>
        <w:pStyle w:val="Testo2"/>
        <w:spacing w:before="240" w:after="120"/>
        <w:rPr>
          <w:b/>
          <w:i/>
        </w:rPr>
      </w:pPr>
      <w:r w:rsidRPr="00E57568">
        <w:rPr>
          <w:b/>
          <w:i/>
        </w:rPr>
        <w:t>AVVERTENZE E PREREQUISITI</w:t>
      </w:r>
    </w:p>
    <w:p w14:paraId="4D79EA93" w14:textId="77777777" w:rsidR="00E85510" w:rsidRPr="00E77280" w:rsidRDefault="00E85510" w:rsidP="00E85510">
      <w:pPr>
        <w:pStyle w:val="Testo2"/>
        <w:rPr>
          <w:b/>
          <w:i/>
        </w:rPr>
      </w:pPr>
      <w:r w:rsidRPr="00E57568">
        <w:t>Si consiglia vivamente la frequenza al corso e una partecipazione attiva alle lezioni. L’insegnamento presuppone conoscenze di microeconomia e macroeconomia, indispensabili per un’adeg</w:t>
      </w:r>
      <w:r>
        <w:t>uata comprensione delle lezioni</w:t>
      </w:r>
      <w:r w:rsidRPr="00E57568">
        <w:t>.</w:t>
      </w:r>
    </w:p>
    <w:p w14:paraId="5928FA78" w14:textId="77777777" w:rsidR="00E85510" w:rsidRDefault="00E85510" w:rsidP="00E8551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E855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492F" w14:textId="77777777" w:rsidR="00A424F6" w:rsidRDefault="00A424F6" w:rsidP="00E85510">
      <w:pPr>
        <w:spacing w:line="240" w:lineRule="auto"/>
      </w:pPr>
      <w:r>
        <w:separator/>
      </w:r>
    </w:p>
  </w:endnote>
  <w:endnote w:type="continuationSeparator" w:id="0">
    <w:p w14:paraId="038A43BF" w14:textId="77777777" w:rsidR="00A424F6" w:rsidRDefault="00A424F6" w:rsidP="00E85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oncini Garamond Std">
    <w:altName w:val="Cambria"/>
    <w:panose1 w:val="00000000000000000000"/>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F8A9" w14:textId="77777777" w:rsidR="00A424F6" w:rsidRDefault="00A424F6" w:rsidP="00E85510">
      <w:pPr>
        <w:spacing w:line="240" w:lineRule="auto"/>
      </w:pPr>
      <w:r>
        <w:separator/>
      </w:r>
    </w:p>
  </w:footnote>
  <w:footnote w:type="continuationSeparator" w:id="0">
    <w:p w14:paraId="3BA892B4" w14:textId="77777777" w:rsidR="00A424F6" w:rsidRDefault="00A424F6" w:rsidP="00E85510">
      <w:pPr>
        <w:spacing w:line="240" w:lineRule="auto"/>
      </w:pPr>
      <w:r>
        <w:continuationSeparator/>
      </w:r>
    </w:p>
  </w:footnote>
  <w:footnote w:id="1">
    <w:p w14:paraId="2E28B4DF" w14:textId="6AD8EDE3" w:rsidR="004118C8" w:rsidRDefault="004118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0"/>
    <w:rsid w:val="00064DFC"/>
    <w:rsid w:val="000A39A9"/>
    <w:rsid w:val="00146E31"/>
    <w:rsid w:val="004118C8"/>
    <w:rsid w:val="00A424F6"/>
    <w:rsid w:val="00C92626"/>
    <w:rsid w:val="00E231F3"/>
    <w:rsid w:val="00E85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51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8551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8551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855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551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85510"/>
    <w:rPr>
      <w:rFonts w:ascii="Times" w:eastAsia="Times New Roman" w:hAnsi="Times" w:cs="Times New Roman"/>
      <w:smallCaps/>
      <w:noProof/>
      <w:sz w:val="18"/>
      <w:szCs w:val="20"/>
      <w:lang w:eastAsia="it-IT"/>
    </w:rPr>
  </w:style>
  <w:style w:type="paragraph" w:customStyle="1" w:styleId="Testo1">
    <w:name w:val="Testo 1"/>
    <w:rsid w:val="00E85510"/>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E8551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E85510"/>
    <w:pPr>
      <w:spacing w:line="240" w:lineRule="auto"/>
    </w:pPr>
    <w:rPr>
      <w:szCs w:val="20"/>
    </w:rPr>
  </w:style>
  <w:style w:type="character" w:customStyle="1" w:styleId="TestonotaapidipaginaCarattere">
    <w:name w:val="Testo nota a piè di pagina Carattere"/>
    <w:basedOn w:val="Carpredefinitoparagrafo"/>
    <w:link w:val="Testonotaapidipagina"/>
    <w:rsid w:val="00E855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85510"/>
    <w:rPr>
      <w:vertAlign w:val="superscript"/>
    </w:rPr>
  </w:style>
  <w:style w:type="character" w:styleId="Collegamentoipertestuale">
    <w:name w:val="Hyperlink"/>
    <w:basedOn w:val="Carpredefinitoparagrafo"/>
    <w:rsid w:val="00E85510"/>
    <w:rPr>
      <w:color w:val="0563C1" w:themeColor="hyperlink"/>
      <w:u w:val="single"/>
    </w:rPr>
  </w:style>
  <w:style w:type="paragraph" w:customStyle="1" w:styleId="Indice">
    <w:name w:val="Indice §"/>
    <w:basedOn w:val="Normale"/>
    <w:qFormat/>
    <w:rsid w:val="00E85510"/>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 w:type="character" w:customStyle="1" w:styleId="Titolo3Carattere">
    <w:name w:val="Titolo 3 Carattere"/>
    <w:basedOn w:val="Carpredefinitoparagrafo"/>
    <w:link w:val="Titolo3"/>
    <w:uiPriority w:val="9"/>
    <w:semiHidden/>
    <w:rsid w:val="00E85510"/>
    <w:rPr>
      <w:rFonts w:asciiTheme="majorHAnsi" w:eastAsiaTheme="majorEastAsia" w:hAnsiTheme="majorHAnsi" w:cstheme="majorBidi"/>
      <w:color w:val="1F4D78"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51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8551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8551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855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551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85510"/>
    <w:rPr>
      <w:rFonts w:ascii="Times" w:eastAsia="Times New Roman" w:hAnsi="Times" w:cs="Times New Roman"/>
      <w:smallCaps/>
      <w:noProof/>
      <w:sz w:val="18"/>
      <w:szCs w:val="20"/>
      <w:lang w:eastAsia="it-IT"/>
    </w:rPr>
  </w:style>
  <w:style w:type="paragraph" w:customStyle="1" w:styleId="Testo1">
    <w:name w:val="Testo 1"/>
    <w:rsid w:val="00E85510"/>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E8551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E85510"/>
    <w:pPr>
      <w:spacing w:line="240" w:lineRule="auto"/>
    </w:pPr>
    <w:rPr>
      <w:szCs w:val="20"/>
    </w:rPr>
  </w:style>
  <w:style w:type="character" w:customStyle="1" w:styleId="TestonotaapidipaginaCarattere">
    <w:name w:val="Testo nota a piè di pagina Carattere"/>
    <w:basedOn w:val="Carpredefinitoparagrafo"/>
    <w:link w:val="Testonotaapidipagina"/>
    <w:rsid w:val="00E855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85510"/>
    <w:rPr>
      <w:vertAlign w:val="superscript"/>
    </w:rPr>
  </w:style>
  <w:style w:type="character" w:styleId="Collegamentoipertestuale">
    <w:name w:val="Hyperlink"/>
    <w:basedOn w:val="Carpredefinitoparagrafo"/>
    <w:rsid w:val="00E85510"/>
    <w:rPr>
      <w:color w:val="0563C1" w:themeColor="hyperlink"/>
      <w:u w:val="single"/>
    </w:rPr>
  </w:style>
  <w:style w:type="paragraph" w:customStyle="1" w:styleId="Indice">
    <w:name w:val="Indice §"/>
    <w:basedOn w:val="Normale"/>
    <w:qFormat/>
    <w:rsid w:val="00E85510"/>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 w:type="character" w:customStyle="1" w:styleId="Titolo3Carattere">
    <w:name w:val="Titolo 3 Carattere"/>
    <w:basedOn w:val="Carpredefinitoparagrafo"/>
    <w:link w:val="Titolo3"/>
    <w:uiPriority w:val="9"/>
    <w:semiHidden/>
    <w:rsid w:val="00E85510"/>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ederic-s-mishkin-stanley-g-eakins/istituzioni-e-mercati-finanziari-ediz-mylab-9788891905383-55838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drea-terzi/il-governo-della-moneta-9788892137707-69437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61FD-3ACE-4887-8401-C5BB5A34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4</cp:revision>
  <dcterms:created xsi:type="dcterms:W3CDTF">2022-05-26T06:56:00Z</dcterms:created>
  <dcterms:modified xsi:type="dcterms:W3CDTF">2022-07-25T09:59:00Z</dcterms:modified>
</cp:coreProperties>
</file>