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17CF" w14:textId="0B324EED" w:rsidR="00244DCD" w:rsidRPr="00772C86" w:rsidRDefault="00244DCD" w:rsidP="00244DCD">
      <w:pPr>
        <w:pStyle w:val="Titolo1"/>
      </w:pPr>
      <w:r w:rsidRPr="00772C86">
        <w:t xml:space="preserve">Economia </w:t>
      </w:r>
      <w:r w:rsidR="00D72103">
        <w:t>e gestione della banca</w:t>
      </w:r>
      <w:r w:rsidR="00A62E73" w:rsidRPr="00772C86">
        <w:t xml:space="preserve"> </w:t>
      </w:r>
    </w:p>
    <w:p w14:paraId="659A62B9" w14:textId="7F6DA240" w:rsidR="00244DCD" w:rsidRPr="00772C86" w:rsidRDefault="00244DCD" w:rsidP="00244DCD">
      <w:pPr>
        <w:pStyle w:val="Titolo2"/>
      </w:pPr>
      <w:r w:rsidRPr="00D96D8D">
        <w:t>Prof. Mariarosa Borroni</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D96D8D" w:rsidRDefault="00244DCD" w:rsidP="00244DCD">
      <w:pPr>
        <w:spacing w:before="240" w:after="120"/>
        <w:rPr>
          <w:b/>
          <w:sz w:val="18"/>
        </w:rPr>
      </w:pPr>
      <w:r w:rsidRPr="00D96D8D">
        <w:rPr>
          <w:b/>
          <w:i/>
          <w:sz w:val="18"/>
        </w:rPr>
        <w:t>PROGRAMMA DEL CORSO</w:t>
      </w:r>
    </w:p>
    <w:p w14:paraId="251D9120" w14:textId="77777777" w:rsidR="00244DCD" w:rsidRPr="00D96D8D" w:rsidRDefault="00244DCD" w:rsidP="006D612C">
      <w:pPr>
        <w:pStyle w:val="Paragrafoelenco"/>
        <w:numPr>
          <w:ilvl w:val="0"/>
          <w:numId w:val="2"/>
        </w:numPr>
        <w:tabs>
          <w:tab w:val="clear" w:pos="284"/>
        </w:tabs>
        <w:rPr>
          <w:rFonts w:ascii="Times Roman" w:hAnsi="Times Roman"/>
          <w:i/>
          <w:szCs w:val="18"/>
        </w:rPr>
      </w:pPr>
      <w:r w:rsidRPr="00D96D8D">
        <w:rPr>
          <w:rFonts w:ascii="Times Roman" w:hAnsi="Times Roman"/>
          <w:i/>
          <w:szCs w:val="18"/>
        </w:rPr>
        <w:t>Struttura ed evoluzione del sistema finanziario</w:t>
      </w:r>
    </w:p>
    <w:p w14:paraId="7A553AC9" w14:textId="73AF8B75"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348D7E08" w14:textId="08D52315" w:rsidR="00244DCD" w:rsidRPr="00772C86" w:rsidRDefault="00D72103" w:rsidP="006D612C">
      <w:pPr>
        <w:pStyle w:val="Paragrafoelenco"/>
        <w:numPr>
          <w:ilvl w:val="0"/>
          <w:numId w:val="2"/>
        </w:numPr>
        <w:tabs>
          <w:tab w:val="clear" w:pos="284"/>
        </w:tabs>
        <w:spacing w:before="120"/>
        <w:rPr>
          <w:rFonts w:ascii="Times Roman" w:hAnsi="Times Roman"/>
          <w:i/>
          <w:szCs w:val="18"/>
        </w:rPr>
      </w:pPr>
      <w:r>
        <w:rPr>
          <w:rFonts w:ascii="Times Roman" w:hAnsi="Times Roman"/>
          <w:i/>
          <w:szCs w:val="18"/>
        </w:rPr>
        <w:t>Le fu</w:t>
      </w:r>
      <w:r w:rsidR="00244DCD" w:rsidRPr="00772C86">
        <w:rPr>
          <w:rFonts w:ascii="Times Roman" w:hAnsi="Times Roman"/>
          <w:i/>
          <w:szCs w:val="18"/>
        </w:rPr>
        <w:t xml:space="preserve">nzioni </w:t>
      </w:r>
      <w:r>
        <w:rPr>
          <w:rFonts w:ascii="Times Roman" w:hAnsi="Times Roman"/>
          <w:i/>
          <w:szCs w:val="18"/>
        </w:rPr>
        <w:t>del sistema finanziario</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di trasmissione degli impulsi di politica economica: le operazioni di politica monetaria.</w:t>
      </w:r>
    </w:p>
    <w:p w14:paraId="1E27FBDB" w14:textId="30E06453"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lastRenderedPageBreak/>
        <w:t>I rischi dell’attività di intermediazione finanziaria</w:t>
      </w:r>
    </w:p>
    <w:p w14:paraId="690B19A7" w14:textId="6C5C55BB"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Tassonomia dei rischi</w:t>
      </w:r>
      <w:r w:rsidR="00070379" w:rsidRPr="00D96D8D">
        <w:rPr>
          <w:rFonts w:ascii="Times Roman" w:hAnsi="Times Roman"/>
          <w:szCs w:val="18"/>
        </w:rPr>
        <w:t>.</w:t>
      </w:r>
    </w:p>
    <w:p w14:paraId="21695A3B" w14:textId="35039A2A" w:rsidR="00BE1C01" w:rsidRPr="00D96D8D" w:rsidRDefault="00BE1C01" w:rsidP="00BE1C01">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La gestione dei rischi</w:t>
      </w:r>
      <w:r w:rsidR="00070379" w:rsidRPr="00D96D8D">
        <w:rPr>
          <w:rFonts w:ascii="Times Roman" w:hAnsi="Times Roman"/>
          <w:szCs w:val="18"/>
        </w:rPr>
        <w:t>.</w:t>
      </w:r>
    </w:p>
    <w:p w14:paraId="2B7580EC" w14:textId="6A9B6001" w:rsidR="00D72103" w:rsidRPr="00D96D8D" w:rsidRDefault="00D72103" w:rsidP="006D612C">
      <w:pPr>
        <w:pStyle w:val="Paragrafoelenco"/>
        <w:numPr>
          <w:ilvl w:val="0"/>
          <w:numId w:val="2"/>
        </w:numPr>
        <w:tabs>
          <w:tab w:val="clear" w:pos="284"/>
        </w:tabs>
        <w:spacing w:before="120"/>
        <w:rPr>
          <w:rFonts w:ascii="Times Roman" w:hAnsi="Times Roman"/>
          <w:i/>
          <w:szCs w:val="18"/>
        </w:rPr>
      </w:pPr>
      <w:r w:rsidRPr="00D96D8D">
        <w:rPr>
          <w:rFonts w:ascii="Times Roman" w:hAnsi="Times Roman"/>
          <w:i/>
          <w:szCs w:val="18"/>
        </w:rPr>
        <w:t>Regolamentazione e vigilanza sul sistema bancario</w:t>
      </w:r>
    </w:p>
    <w:p w14:paraId="6B977FDD" w14:textId="663E12AD" w:rsidR="00BE1C01"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Le ragioni della regolamentazione dell’attività finanziaria</w:t>
      </w:r>
      <w:r w:rsidR="00070379" w:rsidRPr="00D96D8D">
        <w:rPr>
          <w:rFonts w:ascii="Times Roman" w:hAnsi="Times Roman"/>
          <w:szCs w:val="18"/>
        </w:rPr>
        <w:t>.</w:t>
      </w:r>
    </w:p>
    <w:p w14:paraId="3B210D4C" w14:textId="765F5362"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L’Unione Bancaria Europea</w:t>
      </w:r>
      <w:r w:rsidR="00070379" w:rsidRPr="00D96D8D">
        <w:rPr>
          <w:rFonts w:ascii="Times Roman" w:hAnsi="Times Roman"/>
          <w:szCs w:val="18"/>
        </w:rPr>
        <w:t>.</w:t>
      </w:r>
    </w:p>
    <w:p w14:paraId="30A1D3CD" w14:textId="420EBCF4" w:rsidR="0010626E" w:rsidRPr="00D96D8D" w:rsidRDefault="0010626E" w:rsidP="0010626E">
      <w:pPr>
        <w:pStyle w:val="Paragrafoelenco"/>
        <w:numPr>
          <w:ilvl w:val="1"/>
          <w:numId w:val="2"/>
        </w:numPr>
        <w:tabs>
          <w:tab w:val="clear" w:pos="284"/>
        </w:tabs>
        <w:spacing w:before="120"/>
        <w:rPr>
          <w:rFonts w:ascii="Times Roman" w:hAnsi="Times Roman"/>
          <w:szCs w:val="18"/>
        </w:rPr>
      </w:pPr>
      <w:r w:rsidRPr="00D96D8D">
        <w:rPr>
          <w:rFonts w:ascii="Times Roman" w:hAnsi="Times Roman"/>
          <w:szCs w:val="18"/>
        </w:rPr>
        <w:t>I principali controlli di vigilanza sulle banche</w:t>
      </w:r>
      <w:r w:rsidR="00070379" w:rsidRPr="00D96D8D">
        <w:rPr>
          <w:rFonts w:ascii="Times Roman" w:hAnsi="Times Roman"/>
          <w:szCs w:val="18"/>
        </w:rPr>
        <w:t>.</w:t>
      </w:r>
    </w:p>
    <w:p w14:paraId="5324E175" w14:textId="3085F580"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56DA56B5" w:rsidR="00244DC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113D3174" w14:textId="342ABD68" w:rsidR="00D96D8D" w:rsidRPr="00772C86" w:rsidRDefault="00D96D8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7E418B99" w14:textId="13DDD29A" w:rsidR="00244DCD" w:rsidRPr="00772C86" w:rsidRDefault="00D96D8D" w:rsidP="00D96D8D">
      <w:pPr>
        <w:pStyle w:val="Paragrafoelenco"/>
        <w:numPr>
          <w:ilvl w:val="0"/>
          <w:numId w:val="2"/>
        </w:numPr>
        <w:tabs>
          <w:tab w:val="clear" w:pos="284"/>
        </w:tabs>
        <w:spacing w:before="120"/>
        <w:rPr>
          <w:rFonts w:ascii="Times Roman" w:hAnsi="Times Roman"/>
          <w:i/>
          <w:szCs w:val="18"/>
        </w:rPr>
      </w:pPr>
      <w:r>
        <w:rPr>
          <w:rFonts w:ascii="Times Roman" w:hAnsi="Times Roman"/>
          <w:szCs w:val="18"/>
        </w:rPr>
        <w:t>L’o</w:t>
      </w:r>
      <w:r w:rsidR="00244DCD" w:rsidRPr="00772C86">
        <w:rPr>
          <w:rFonts w:ascii="Times Roman" w:hAnsi="Times Roman"/>
          <w:i/>
          <w:szCs w:val="18"/>
        </w:rPr>
        <w:t>peratività delle banche</w:t>
      </w:r>
    </w:p>
    <w:p w14:paraId="7D8A5091" w14:textId="3FE5117F" w:rsidR="00D96D8D"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w:t>
      </w:r>
      <w:r w:rsidR="00D96D8D">
        <w:rPr>
          <w:rFonts w:ascii="Times Roman" w:hAnsi="Times Roman"/>
          <w:szCs w:val="18"/>
        </w:rPr>
        <w:t>.</w:t>
      </w:r>
      <w:r w:rsidR="00D96D8D" w:rsidRPr="00772C86">
        <w:rPr>
          <w:rFonts w:ascii="Times Roman" w:hAnsi="Times Roman"/>
          <w:szCs w:val="18"/>
        </w:rPr>
        <w:t xml:space="preserve"> </w:t>
      </w:r>
    </w:p>
    <w:p w14:paraId="38FAD626" w14:textId="28666090" w:rsidR="00D96D8D"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prestiti bancari</w:t>
      </w:r>
      <w:r>
        <w:rPr>
          <w:rFonts w:ascii="Times Roman" w:hAnsi="Times Roman"/>
          <w:szCs w:val="18"/>
        </w:rPr>
        <w:t>.</w:t>
      </w:r>
      <w:r w:rsidR="00244DCD" w:rsidRPr="00772C86">
        <w:rPr>
          <w:rFonts w:ascii="Times Roman" w:hAnsi="Times Roman"/>
          <w:szCs w:val="18"/>
        </w:rPr>
        <w:t xml:space="preserve"> </w:t>
      </w:r>
    </w:p>
    <w:p w14:paraId="33956418" w14:textId="7E7AD33C" w:rsidR="00244DCD" w:rsidRPr="00772C86" w:rsidRDefault="00D96D8D" w:rsidP="006D612C">
      <w:pPr>
        <w:pStyle w:val="Paragrafoelenco"/>
        <w:numPr>
          <w:ilvl w:val="1"/>
          <w:numId w:val="2"/>
        </w:numPr>
        <w:tabs>
          <w:tab w:val="clear" w:pos="284"/>
        </w:tabs>
        <w:rPr>
          <w:rFonts w:ascii="Times Roman" w:hAnsi="Times Roman"/>
          <w:szCs w:val="18"/>
        </w:rPr>
      </w:pPr>
      <w:r>
        <w:rPr>
          <w:rFonts w:ascii="Times Roman" w:hAnsi="Times Roman"/>
          <w:szCs w:val="18"/>
        </w:rPr>
        <w:t>I</w:t>
      </w:r>
      <w:r w:rsidRPr="00772C86">
        <w:rPr>
          <w:rFonts w:ascii="Times Roman" w:hAnsi="Times Roman"/>
          <w:szCs w:val="18"/>
        </w:rPr>
        <w:t xml:space="preserve"> </w:t>
      </w:r>
      <w:r w:rsidR="00244DCD" w:rsidRPr="00772C86">
        <w:rPr>
          <w:rFonts w:ascii="Times Roman" w:hAnsi="Times Roman"/>
          <w:szCs w:val="18"/>
        </w:rPr>
        <w:t>servizi di pagamento</w:t>
      </w:r>
      <w:r>
        <w:rPr>
          <w:rFonts w:ascii="Times Roman" w:hAnsi="Times Roman"/>
          <w:szCs w:val="18"/>
        </w:rPr>
        <w:t xml:space="preserve"> e di investimento</w:t>
      </w:r>
      <w:r w:rsidR="00244DCD" w:rsidRPr="00772C86">
        <w:rPr>
          <w:rFonts w:ascii="Times Roman" w:hAnsi="Times Roman"/>
          <w:szCs w:val="18"/>
        </w:rPr>
        <w:t>.</w:t>
      </w:r>
    </w:p>
    <w:p w14:paraId="4689403E" w14:textId="68A81535" w:rsidR="00244DCD" w:rsidRPr="00772C86" w:rsidRDefault="00244DCD" w:rsidP="006D612C">
      <w:pPr>
        <w:spacing w:before="240" w:after="120" w:line="220" w:lineRule="exact"/>
        <w:rPr>
          <w:b/>
          <w:i/>
          <w:sz w:val="18"/>
        </w:rPr>
      </w:pPr>
      <w:r w:rsidRPr="00772C86">
        <w:rPr>
          <w:b/>
          <w:i/>
          <w:sz w:val="18"/>
        </w:rPr>
        <w:t>BIBLIOGRAFIA</w:t>
      </w:r>
    </w:p>
    <w:p w14:paraId="1A7275E6" w14:textId="60C3525E" w:rsidR="00890FD5" w:rsidRPr="00772C86" w:rsidRDefault="00890FD5" w:rsidP="00890FD5">
      <w:pPr>
        <w:pStyle w:val="Testo1"/>
        <w:spacing w:before="0"/>
        <w:rPr>
          <w:szCs w:val="24"/>
        </w:rPr>
      </w:pPr>
      <w:r w:rsidRPr="00772C86">
        <w:rPr>
          <w:i/>
        </w:rPr>
        <w:t xml:space="preserve">Coursepack per il corso di Economia </w:t>
      </w:r>
      <w:r w:rsidR="00D96D8D">
        <w:rPr>
          <w:i/>
        </w:rPr>
        <w:t>e gestione della banca</w:t>
      </w:r>
      <w:r w:rsidRPr="00772C86">
        <w:t xml:space="preserve">, ISEDI, </w:t>
      </w:r>
      <w:r w:rsidR="00BE1C01" w:rsidRPr="00D96D8D">
        <w:t>2022</w:t>
      </w:r>
      <w:r w:rsidR="00741CAB" w:rsidRPr="00772C86">
        <w:t>.</w:t>
      </w:r>
    </w:p>
    <w:p w14:paraId="3421B732" w14:textId="5E6CF076"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p>
    <w:p w14:paraId="0C7DCD50" w14:textId="705069AB" w:rsidR="00741CAB" w:rsidRPr="00772C86" w:rsidRDefault="00741CAB" w:rsidP="00890FD5">
      <w:pPr>
        <w:pStyle w:val="Testo1"/>
        <w:spacing w:before="0"/>
      </w:pPr>
      <w:r w:rsidRPr="00772C86">
        <w:t>Ulteriori materiali di aggiornamento/approfondimento verranno resi disponibili da</w:t>
      </w:r>
      <w:r w:rsidR="000E094E">
        <w:t>l</w:t>
      </w:r>
      <w:r w:rsidRPr="00772C86">
        <w:t xml:space="preserve"> docent</w:t>
      </w:r>
      <w:r w:rsidR="000E094E">
        <w:t>e</w:t>
      </w:r>
      <w:r w:rsidRPr="00772C86">
        <w:t xml:space="preserve">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41EA5847" w:rsidR="00244DCD" w:rsidRPr="00772C86" w:rsidRDefault="00244DCD" w:rsidP="00244DCD">
      <w:pPr>
        <w:pStyle w:val="Testo2"/>
      </w:pPr>
      <w:r w:rsidRPr="00772C86">
        <w:t>È prevista una prova intermedia (durante il periodo di sospensione delle lezioni del secondo semestre</w:t>
      </w:r>
      <w:r w:rsidRPr="00D96D8D">
        <w:t xml:space="preserve">); la prova intermedia ha come oggetto di valutazione gli argomenti </w:t>
      </w:r>
      <w:r w:rsidR="00FA6116" w:rsidRPr="00D96D8D">
        <w:t xml:space="preserve">relativi ai punti 1, 2 e </w:t>
      </w:r>
      <w:r w:rsidR="00BE1C01" w:rsidRPr="00D96D8D">
        <w:t>6</w:t>
      </w:r>
      <w:r w:rsidRPr="00D96D8D">
        <w:t xml:space="preserve"> del programma del corso.</w:t>
      </w:r>
      <w:r w:rsidRPr="00772C86">
        <w:t xml:space="preserve"> La prova intermedia pesa per il </w:t>
      </w:r>
      <w:r w:rsidR="00DD1FDF">
        <w:t>5</w:t>
      </w:r>
      <w:r w:rsidRPr="00772C86">
        <w:t xml:space="preserve">0% sul voto complessivo dell’esame. Lo studente che ha superato </w:t>
      </w:r>
      <w:r w:rsidR="00660B63" w:rsidRPr="00772C86">
        <w:t xml:space="preserve">la prova intermedia </w:t>
      </w:r>
      <w:r w:rsidRPr="00772C86">
        <w:t xml:space="preserve">con esito positivo (voto pari o superiore a 18/30) dovrà sostenere la prova di completamento (peso pari al </w:t>
      </w:r>
      <w:r w:rsidR="00DD1FDF">
        <w:t>5</w:t>
      </w:r>
      <w:r w:rsidRPr="00772C86">
        <w:t xml:space="preserve">0% </w:t>
      </w:r>
      <w:r w:rsidRPr="00772C86">
        <w:lastRenderedPageBreak/>
        <w:t xml:space="preserve">del voto complessivo – il voto deve essere pari o superiore a 18/30) entro la sessione d’esame di giugno-luglio </w:t>
      </w:r>
      <w:r w:rsidR="00415B76" w:rsidRPr="00D96D8D">
        <w:t>202</w:t>
      </w:r>
      <w:r w:rsidR="000E094E">
        <w:t>3</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39A29F32" w:rsidR="00244DCD" w:rsidRPr="00772C86" w:rsidRDefault="00244DCD" w:rsidP="00244DCD">
      <w:pPr>
        <w:pStyle w:val="Testo2"/>
      </w:pPr>
      <w:r w:rsidRPr="00772C86">
        <w:t>Indicazioni dettagliate riguardo alla modalità di svolgimento</w:t>
      </w:r>
      <w:r w:rsidR="00DD1FDF">
        <w:t xml:space="preserve"> e di valutazione</w:t>
      </w:r>
      <w:r w:rsidRPr="00772C86">
        <w:t xml:space="preserve">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54E45614"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r w:rsidR="00BE1C01">
        <w:t xml:space="preserve"> </w:t>
      </w:r>
      <w:r w:rsidR="00BE1C01" w:rsidRPr="00D96D8D">
        <w:t xml:space="preserve">Si ricorda che il superamento dell’esame di Economia aziendale costituisce propedeuticità obbligatoria per Economia e gestione </w:t>
      </w:r>
      <w:r w:rsidR="00070379" w:rsidRPr="00D96D8D">
        <w:t>della banca</w:t>
      </w:r>
      <w:r w:rsidR="00BE1C01">
        <w:t>.</w:t>
      </w:r>
    </w:p>
    <w:p w14:paraId="790971F8" w14:textId="2067DA8C" w:rsidR="00244DCD" w:rsidRDefault="00244DCD" w:rsidP="00244DCD">
      <w:pPr>
        <w:pStyle w:val="Testo2"/>
      </w:pPr>
      <w:r w:rsidRPr="00772C86">
        <w:t>Nell</w:t>
      </w:r>
      <w:r w:rsidR="000E094E">
        <w:t>a</w:t>
      </w:r>
      <w:r w:rsidRPr="00772C86">
        <w:t xml:space="preserve"> pagin</w:t>
      </w:r>
      <w:r w:rsidR="000E094E">
        <w:t>a</w:t>
      </w:r>
      <w:r w:rsidRPr="00772C86">
        <w:t xml:space="preserve"> personal</w:t>
      </w:r>
      <w:r w:rsidR="000E094E">
        <w:t>e</w:t>
      </w:r>
      <w:r w:rsidRPr="00772C86">
        <w:t xml:space="preserve"> de</w:t>
      </w:r>
      <w:r w:rsidR="000E094E">
        <w:t>l</w:t>
      </w:r>
      <w:r w:rsidRPr="00772C86">
        <w:t xml:space="preserve"> docent</w:t>
      </w:r>
      <w:r w:rsidR="000E094E">
        <w:t>e</w:t>
      </w:r>
      <w:r w:rsidRPr="00772C86">
        <w:t xml:space="preserve"> sono indicati i </w:t>
      </w:r>
      <w:r w:rsidR="00660B63" w:rsidRPr="00772C86">
        <w:t>criteri di assegnazione tesi</w:t>
      </w:r>
      <w:r w:rsidRPr="00772C86">
        <w:t>.</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920AC" w14:textId="77777777" w:rsidR="0010626E" w:rsidRDefault="0010626E" w:rsidP="00256177">
      <w:pPr>
        <w:spacing w:line="240" w:lineRule="auto"/>
      </w:pPr>
      <w:r>
        <w:separator/>
      </w:r>
    </w:p>
  </w:endnote>
  <w:endnote w:type="continuationSeparator" w:id="0">
    <w:p w14:paraId="09D3EFC7" w14:textId="77777777" w:rsidR="0010626E" w:rsidRDefault="0010626E"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47DCE" w14:textId="77777777" w:rsidR="0010626E" w:rsidRDefault="0010626E" w:rsidP="00256177">
      <w:pPr>
        <w:spacing w:line="240" w:lineRule="auto"/>
      </w:pPr>
      <w:r>
        <w:separator/>
      </w:r>
    </w:p>
  </w:footnote>
  <w:footnote w:type="continuationSeparator" w:id="0">
    <w:p w14:paraId="39676BC0" w14:textId="77777777" w:rsidR="0010626E" w:rsidRDefault="0010626E" w:rsidP="002561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929462363">
    <w:abstractNumId w:val="1"/>
  </w:num>
  <w:num w:numId="2" w16cid:durableId="1585264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CD"/>
    <w:rsid w:val="00031EE9"/>
    <w:rsid w:val="00063FE4"/>
    <w:rsid w:val="00070379"/>
    <w:rsid w:val="000C6777"/>
    <w:rsid w:val="000E094E"/>
    <w:rsid w:val="0010626E"/>
    <w:rsid w:val="00181238"/>
    <w:rsid w:val="00187B99"/>
    <w:rsid w:val="001D0C7D"/>
    <w:rsid w:val="002014DD"/>
    <w:rsid w:val="002323E9"/>
    <w:rsid w:val="00244DCD"/>
    <w:rsid w:val="00256177"/>
    <w:rsid w:val="00295714"/>
    <w:rsid w:val="002D5E17"/>
    <w:rsid w:val="003500A7"/>
    <w:rsid w:val="00415B76"/>
    <w:rsid w:val="004D1217"/>
    <w:rsid w:val="004D6008"/>
    <w:rsid w:val="005258BA"/>
    <w:rsid w:val="00552AAE"/>
    <w:rsid w:val="005620EC"/>
    <w:rsid w:val="00585D80"/>
    <w:rsid w:val="00591BDB"/>
    <w:rsid w:val="005C3912"/>
    <w:rsid w:val="0061447F"/>
    <w:rsid w:val="00640794"/>
    <w:rsid w:val="00660B63"/>
    <w:rsid w:val="00685A95"/>
    <w:rsid w:val="006B510D"/>
    <w:rsid w:val="006D612C"/>
    <w:rsid w:val="006F1772"/>
    <w:rsid w:val="00741CAB"/>
    <w:rsid w:val="00772C86"/>
    <w:rsid w:val="007B6AE4"/>
    <w:rsid w:val="007C5101"/>
    <w:rsid w:val="007E2807"/>
    <w:rsid w:val="0081017C"/>
    <w:rsid w:val="00890FD5"/>
    <w:rsid w:val="008942E7"/>
    <w:rsid w:val="008A1204"/>
    <w:rsid w:val="00900CCA"/>
    <w:rsid w:val="00924B77"/>
    <w:rsid w:val="00940DA2"/>
    <w:rsid w:val="00982A03"/>
    <w:rsid w:val="009C093F"/>
    <w:rsid w:val="009E055C"/>
    <w:rsid w:val="009F5EDD"/>
    <w:rsid w:val="00A62E73"/>
    <w:rsid w:val="00A74F6F"/>
    <w:rsid w:val="00AD7557"/>
    <w:rsid w:val="00B50C5D"/>
    <w:rsid w:val="00B51253"/>
    <w:rsid w:val="00B525CC"/>
    <w:rsid w:val="00BE1C01"/>
    <w:rsid w:val="00C43DFB"/>
    <w:rsid w:val="00CA0C82"/>
    <w:rsid w:val="00D404F2"/>
    <w:rsid w:val="00D72103"/>
    <w:rsid w:val="00D96D8D"/>
    <w:rsid w:val="00DA4CAD"/>
    <w:rsid w:val="00DD1FDF"/>
    <w:rsid w:val="00E07453"/>
    <w:rsid w:val="00E60509"/>
    <w:rsid w:val="00E607E6"/>
    <w:rsid w:val="00F65B17"/>
    <w:rsid w:val="00FA6116"/>
    <w:rsid w:val="00FA7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15:docId w15:val="{7393A3A7-09BE-4059-8805-4ACB4C97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6002-E6F1-5A4F-A3B3-CA5D45EC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776</Words>
  <Characters>4708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4</cp:revision>
  <cp:lastPrinted>2021-05-07T08:47:00Z</cp:lastPrinted>
  <dcterms:created xsi:type="dcterms:W3CDTF">2022-05-04T06:19:00Z</dcterms:created>
  <dcterms:modified xsi:type="dcterms:W3CDTF">2022-11-16T14:45:00Z</dcterms:modified>
</cp:coreProperties>
</file>