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C8A6" w14:textId="77777777" w:rsidR="00FA7EC1" w:rsidRDefault="00FA7EC1" w:rsidP="00FA7EC1">
      <w:pPr>
        <w:pStyle w:val="Titolo1"/>
      </w:pPr>
      <w:r w:rsidRPr="004A4B7D">
        <w:t>Finanza aziendale</w:t>
      </w:r>
    </w:p>
    <w:p w14:paraId="6BB34D50" w14:textId="77777777" w:rsidR="00FA7EC1" w:rsidRDefault="00FA7EC1" w:rsidP="00FA7EC1">
      <w:pPr>
        <w:pStyle w:val="Titolo2"/>
      </w:pPr>
      <w:r w:rsidRPr="004A4B7D">
        <w:t>Prof. Roberto Moro Visconti</w:t>
      </w:r>
    </w:p>
    <w:p w14:paraId="58A9DB11" w14:textId="39121441" w:rsidR="00FA7EC1" w:rsidRDefault="00FA7EC1" w:rsidP="00FA7EC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8E7503">
        <w:rPr>
          <w:b/>
          <w:i/>
          <w:sz w:val="18"/>
        </w:rPr>
        <w:t xml:space="preserve"> E RISULTATI DI APPRENDIMENTO ATTESI</w:t>
      </w:r>
    </w:p>
    <w:p w14:paraId="0745EF53" w14:textId="00F1CA38" w:rsidR="00FA7EC1" w:rsidRDefault="00FA7EC1" w:rsidP="00FA7EC1">
      <w:r w:rsidRPr="004A4B7D">
        <w:t>Fornire e ottenere, come risultati di apprendimento attesi, nozioni di base teorico-pratiche della finanza aziendale, partendo dai dati contabili di bilancio, per pervenire a un’analisi dei flussi di cassa, anche con casi pratici e</w:t>
      </w:r>
      <w:r w:rsidR="008E7503">
        <w:t>d</w:t>
      </w:r>
      <w:r w:rsidRPr="004A4B7D">
        <w:t xml:space="preserve"> esercitazioni interattive </w:t>
      </w:r>
      <w:r w:rsidRPr="004A4B7D">
        <w:rPr>
          <w:i/>
        </w:rPr>
        <w:t>online</w:t>
      </w:r>
      <w:r w:rsidRPr="004A4B7D">
        <w:t xml:space="preserve"> su Blackboard, consentendo di sviluppare </w:t>
      </w:r>
      <w:r w:rsidRPr="004A4B7D">
        <w:rPr>
          <w:i/>
        </w:rPr>
        <w:t>soft skills</w:t>
      </w:r>
      <w:r w:rsidRPr="004A4B7D">
        <w:t xml:space="preserve"> professionalizzanti. </w:t>
      </w:r>
    </w:p>
    <w:p w14:paraId="20FAF5F5" w14:textId="77777777" w:rsidR="00B472BE" w:rsidRDefault="00B472BE" w:rsidP="00FA7EC1">
      <w:r>
        <w:t>Al termine del corso gli studenti:</w:t>
      </w:r>
    </w:p>
    <w:p w14:paraId="56BA7153" w14:textId="77777777" w:rsidR="00B472BE" w:rsidRDefault="00B472BE" w:rsidP="00B472BE">
      <w:pPr>
        <w:pStyle w:val="Paragrafoelenco"/>
        <w:numPr>
          <w:ilvl w:val="0"/>
          <w:numId w:val="2"/>
        </w:numPr>
      </w:pPr>
      <w:r>
        <w:t>Acquisiranno i concetti base dell’analisi di bilancio e della finanza aziendale, per interpretare le implicazioni finanziarie delle decisioni strategiche e manageriali delle imprese;</w:t>
      </w:r>
    </w:p>
    <w:p w14:paraId="499A5545" w14:textId="7DD577C3" w:rsidR="00B472BE" w:rsidRDefault="00B472BE" w:rsidP="00B472BE">
      <w:pPr>
        <w:pStyle w:val="Paragrafoelenco"/>
        <w:numPr>
          <w:ilvl w:val="0"/>
          <w:numId w:val="2"/>
        </w:numPr>
      </w:pPr>
      <w:r>
        <w:t xml:space="preserve">Saranno in grado di redigere </w:t>
      </w:r>
      <w:r w:rsidR="004314D6">
        <w:t xml:space="preserve">ed interpretare criticamente </w:t>
      </w:r>
      <w:r>
        <w:t>un business plan su Excel;</w:t>
      </w:r>
    </w:p>
    <w:p w14:paraId="40C602EC" w14:textId="796099B9" w:rsidR="00B472BE" w:rsidRDefault="00B472BE" w:rsidP="00B472BE">
      <w:pPr>
        <w:pStyle w:val="Paragrafoelenco"/>
        <w:numPr>
          <w:ilvl w:val="0"/>
          <w:numId w:val="2"/>
        </w:numPr>
      </w:pPr>
      <w:r>
        <w:t xml:space="preserve">Acquisiranno le competenze di base </w:t>
      </w:r>
      <w:r w:rsidR="00DE3764">
        <w:t xml:space="preserve">e la capacità di apprendimento </w:t>
      </w:r>
      <w:r>
        <w:t xml:space="preserve">per poter frequentare corsi avanzati di finanza aziendale e </w:t>
      </w:r>
      <w:r w:rsidR="00E64C62">
        <w:t>mercati finanziari</w:t>
      </w:r>
      <w:r w:rsidR="00DE3764">
        <w:t>;</w:t>
      </w:r>
    </w:p>
    <w:p w14:paraId="2E471334" w14:textId="50CE102D" w:rsidR="00DE3764" w:rsidRDefault="00DE3764" w:rsidP="00B472BE">
      <w:pPr>
        <w:pStyle w:val="Paragrafoelenco"/>
        <w:numPr>
          <w:ilvl w:val="0"/>
          <w:numId w:val="2"/>
        </w:numPr>
      </w:pPr>
      <w:r>
        <w:t>Acquisiranno un</w:t>
      </w:r>
      <w:r w:rsidR="00E64C62">
        <w:t>’</w:t>
      </w:r>
      <w:r>
        <w:t>autonomia di giudizio trasversale ed interdisciplinare per coniugare i principi della finanza aziendale con quelli di altre materie affini, soprattutto in ambito economico-aziendale;</w:t>
      </w:r>
    </w:p>
    <w:p w14:paraId="758B359B" w14:textId="1138BE54" w:rsidR="00DE3764" w:rsidRDefault="00DE3764" w:rsidP="00B472BE">
      <w:pPr>
        <w:pStyle w:val="Paragrafoelenco"/>
        <w:numPr>
          <w:ilvl w:val="0"/>
          <w:numId w:val="2"/>
        </w:numPr>
      </w:pPr>
      <w:r>
        <w:t>Svilupperanno abilità comunicative connesse alla redazione di casi aziendali</w:t>
      </w:r>
      <w:r w:rsidR="004314D6">
        <w:t xml:space="preserve"> di gruppo</w:t>
      </w:r>
      <w:r>
        <w:t>, che saranno presentati in aula o condivisi in modalità interattiva e digitale.</w:t>
      </w:r>
    </w:p>
    <w:p w14:paraId="076ADCD2" w14:textId="77777777" w:rsidR="00FA7EC1" w:rsidRDefault="00FA7EC1" w:rsidP="00FA7EC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9A629E6" w14:textId="77777777" w:rsidR="00FA7EC1" w:rsidRDefault="00FA7EC1" w:rsidP="00FA7EC1">
      <w:r w:rsidRPr="00820AA5">
        <w:t>1.</w:t>
      </w:r>
      <w:r w:rsidRPr="00820AA5">
        <w:tab/>
      </w:r>
      <w:r w:rsidRPr="00820AA5">
        <w:rPr>
          <w:i/>
        </w:rPr>
        <w:t>Analisi finanziaria e di bilancio</w:t>
      </w:r>
    </w:p>
    <w:p w14:paraId="66A22C93" w14:textId="387C869C" w:rsidR="00FA7EC1" w:rsidRDefault="00FA7EC1" w:rsidP="00FA7EC1">
      <w:r>
        <w:t>Riclassificazioni di bilancio – Situazione patrimoniale – margini economici – ROE, ROI</w:t>
      </w:r>
      <w:r w:rsidR="00102A5D">
        <w:t>, ROS</w:t>
      </w:r>
      <w:r>
        <w:t xml:space="preserve"> e altri indici di bilancio – </w:t>
      </w:r>
      <w:r w:rsidR="00102A5D">
        <w:t xml:space="preserve">equazione della redditività - </w:t>
      </w:r>
      <w:r>
        <w:t xml:space="preserve">leva operativa e </w:t>
      </w:r>
      <w:r w:rsidR="008E7503">
        <w:t xml:space="preserve">scalabilità digitale – leva </w:t>
      </w:r>
      <w:r>
        <w:t>finanziaria.</w:t>
      </w:r>
    </w:p>
    <w:p w14:paraId="7695034D" w14:textId="77777777" w:rsidR="00FA7EC1" w:rsidRDefault="00FA7EC1" w:rsidP="00FA7EC1">
      <w:pPr>
        <w:spacing w:before="120"/>
      </w:pPr>
      <w:r w:rsidRPr="00820AA5">
        <w:t>2.</w:t>
      </w:r>
      <w:r w:rsidRPr="00820AA5">
        <w:tab/>
      </w:r>
      <w:r w:rsidRPr="00820AA5">
        <w:rPr>
          <w:i/>
        </w:rPr>
        <w:t>Rischio e rendimento</w:t>
      </w:r>
    </w:p>
    <w:p w14:paraId="4DACA37F" w14:textId="77777777" w:rsidR="00FA7EC1" w:rsidRDefault="00FA7EC1" w:rsidP="00FA7EC1">
      <w:r>
        <w:t>Rischio azionario e rendimento atteso – frontiera efficiente e diversificazione di portafoglio – il modello CAPM – esercizi e simulazioni su Excel.</w:t>
      </w:r>
    </w:p>
    <w:p w14:paraId="73092928" w14:textId="77777777" w:rsidR="00FA7EC1" w:rsidRDefault="00FA7EC1" w:rsidP="00FA7EC1">
      <w:pPr>
        <w:spacing w:before="120"/>
      </w:pPr>
      <w:r>
        <w:t>3.</w:t>
      </w:r>
      <w:r>
        <w:tab/>
      </w:r>
      <w:r w:rsidRPr="007F47EA">
        <w:rPr>
          <w:i/>
        </w:rPr>
        <w:t>I flussi di cassa</w:t>
      </w:r>
    </w:p>
    <w:p w14:paraId="417CE48F" w14:textId="77777777" w:rsidR="00FA7EC1" w:rsidRDefault="00FA7EC1" w:rsidP="00FA7EC1">
      <w:r>
        <w:t>Interazione tra flussi economici, flussi finanziari e consistenze patrimoniali – flussi di cassa operativi, netti, incrementali e scontati.</w:t>
      </w:r>
    </w:p>
    <w:p w14:paraId="6F5913B2" w14:textId="77777777" w:rsidR="00FA7EC1" w:rsidRDefault="00FA7EC1" w:rsidP="00FA7EC1">
      <w:pPr>
        <w:spacing w:before="120"/>
      </w:pPr>
      <w:r>
        <w:t>4.</w:t>
      </w:r>
      <w:r>
        <w:tab/>
      </w:r>
      <w:r w:rsidRPr="007F47EA">
        <w:rPr>
          <w:i/>
        </w:rPr>
        <w:t>Decisioni di investimento e business plan</w:t>
      </w:r>
    </w:p>
    <w:p w14:paraId="47557406" w14:textId="12153B7F" w:rsidR="00FA7EC1" w:rsidRDefault="00FA7EC1" w:rsidP="00FA7EC1">
      <w:r>
        <w:lastRenderedPageBreak/>
        <w:t xml:space="preserve">Capital budgeting – Valore Attuale Netto e Tasso Interno di Rendimento – Business plan interattivi su Excel – </w:t>
      </w:r>
      <w:r w:rsidR="00102A5D">
        <w:t>valutazione delle start up prive di debito</w:t>
      </w:r>
      <w:r>
        <w:t>.</w:t>
      </w:r>
    </w:p>
    <w:p w14:paraId="3450D46F" w14:textId="77777777" w:rsidR="00FA7EC1" w:rsidRDefault="00FA7EC1" w:rsidP="00FA7EC1">
      <w:pPr>
        <w:spacing w:before="120"/>
      </w:pPr>
      <w:r>
        <w:t>5.</w:t>
      </w:r>
      <w:r>
        <w:tab/>
      </w:r>
      <w:r w:rsidRPr="007F47EA">
        <w:rPr>
          <w:i/>
        </w:rPr>
        <w:t>Decisioni di finanziamento</w:t>
      </w:r>
    </w:p>
    <w:p w14:paraId="1BF28064" w14:textId="4A95075E" w:rsidR="00FA7EC1" w:rsidRDefault="00FA7EC1" w:rsidP="00FA7EC1">
      <w:r>
        <w:t xml:space="preserve">Costo del capitale – struttura finanziaria ottimale </w:t>
      </w:r>
      <w:r w:rsidR="00102A5D">
        <w:t>– politica dei dividendi</w:t>
      </w:r>
    </w:p>
    <w:p w14:paraId="41343C8B" w14:textId="77777777" w:rsidR="00FA7EC1" w:rsidRPr="00820AA5" w:rsidRDefault="00FA7EC1" w:rsidP="00FA7EC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0C036D87" w14:textId="77777777" w:rsidR="00FA7EC1" w:rsidRPr="00D753FE" w:rsidRDefault="00FA7EC1" w:rsidP="00FA7EC1">
      <w:pPr>
        <w:pStyle w:val="Testo1"/>
      </w:pPr>
      <w:r w:rsidRPr="00D753FE">
        <w:t>Materiale didattico obbligatorio</w:t>
      </w:r>
    </w:p>
    <w:p w14:paraId="7A8D7D07" w14:textId="5FFD1917" w:rsidR="00FA7EC1" w:rsidRDefault="00FA7EC1" w:rsidP="00FA7EC1">
      <w:pPr>
        <w:pStyle w:val="Testo1"/>
        <w:spacing w:before="0"/>
      </w:pPr>
      <w:r>
        <w:t xml:space="preserve">Interamente riportato in </w:t>
      </w:r>
      <w:r w:rsidRPr="004A4B7D">
        <w:rPr>
          <w:i/>
        </w:rPr>
        <w:t>Blackboard</w:t>
      </w:r>
      <w:r>
        <w:t xml:space="preserve"> – corso di Finanza aziendale del Prof. Roberto Moro Visconti a.a. 20</w:t>
      </w:r>
      <w:r w:rsidR="008E7503">
        <w:t>2</w:t>
      </w:r>
      <w:r w:rsidR="00102A5D">
        <w:t>2</w:t>
      </w:r>
      <w:r>
        <w:t>/20</w:t>
      </w:r>
      <w:r w:rsidR="0046223D">
        <w:t>2</w:t>
      </w:r>
      <w:r w:rsidR="00102A5D">
        <w:t>3</w:t>
      </w:r>
      <w:r>
        <w:t xml:space="preserve">. </w:t>
      </w:r>
    </w:p>
    <w:p w14:paraId="6DB9AC8D" w14:textId="77777777" w:rsidR="00FA7EC1" w:rsidRDefault="00FA7EC1" w:rsidP="00FA7EC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71D818E" w14:textId="77777777" w:rsidR="00FA7EC1" w:rsidRPr="00196682" w:rsidRDefault="00FA7EC1" w:rsidP="00FA7EC1">
      <w:pPr>
        <w:pStyle w:val="Testo2"/>
      </w:pPr>
      <w:r w:rsidRPr="00196682">
        <w:t xml:space="preserve">Lezioni ed esercitazioni frontali corredate da e-learning (materiale on-line, su Blackboard, con video-lezioni registrate, indicazioni sul metodo di studio, test di autovalutazione, indicazioni per tesi, esiti esami, letture con casi, schemi riassuntivi ed esercizi su Excel, domande di esami precedenti, programma d'esame e raccordo con il materiale didattico, indicazioni per non frequentanti, anche al fine di minimizzare la dispersione accademica). </w:t>
      </w:r>
    </w:p>
    <w:p w14:paraId="11FFE075" w14:textId="7494743F" w:rsidR="00FA7EC1" w:rsidRDefault="00FA7EC1" w:rsidP="00FA7EC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E7503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942BBC6" w14:textId="565D621E" w:rsidR="00181536" w:rsidRDefault="00181536" w:rsidP="00181536">
      <w:pPr>
        <w:pStyle w:val="Testo2"/>
        <w:rPr>
          <w:szCs w:val="18"/>
        </w:rPr>
      </w:pPr>
      <w:r>
        <w:rPr>
          <w:szCs w:val="18"/>
        </w:rPr>
        <w:t xml:space="preserve">L’esame di Finanza aziendale si svolge in forma scritta, mediante una prova: </w:t>
      </w:r>
    </w:p>
    <w:p w14:paraId="66E621B3" w14:textId="53331AFD" w:rsidR="00181536" w:rsidRDefault="00181536" w:rsidP="00181536">
      <w:pPr>
        <w:pStyle w:val="Testo2"/>
        <w:numPr>
          <w:ilvl w:val="0"/>
          <w:numId w:val="3"/>
        </w:numPr>
        <w:rPr>
          <w:szCs w:val="18"/>
        </w:rPr>
      </w:pPr>
      <w:r>
        <w:rPr>
          <w:szCs w:val="18"/>
        </w:rPr>
        <w:t xml:space="preserve">finalizzata a valutare la conoscenza degli altri argomenti ricompresi nel </w:t>
      </w:r>
      <w:r w:rsidRPr="009038B4">
        <w:rPr>
          <w:i/>
          <w:iCs/>
          <w:szCs w:val="18"/>
        </w:rPr>
        <w:t>syllabus</w:t>
      </w:r>
      <w:r>
        <w:rPr>
          <w:szCs w:val="18"/>
        </w:rPr>
        <w:t xml:space="preserve"> e segnalati nella presente Guida di Facoltà (parte teorica), con domande a risporta aperta e/o </w:t>
      </w:r>
      <w:r w:rsidRPr="008D44DC">
        <w:rPr>
          <w:i/>
          <w:iCs/>
          <w:szCs w:val="18"/>
        </w:rPr>
        <w:t>multiple choices</w:t>
      </w:r>
      <w:r>
        <w:rPr>
          <w:szCs w:val="18"/>
        </w:rPr>
        <w:t xml:space="preserve"> a risposta chiusa;</w:t>
      </w:r>
    </w:p>
    <w:p w14:paraId="202A7C1D" w14:textId="29F56775" w:rsidR="00181536" w:rsidRDefault="00181536" w:rsidP="00181536">
      <w:pPr>
        <w:pStyle w:val="Testo2"/>
        <w:numPr>
          <w:ilvl w:val="0"/>
          <w:numId w:val="3"/>
        </w:numPr>
        <w:rPr>
          <w:szCs w:val="18"/>
        </w:rPr>
      </w:pPr>
      <w:r>
        <w:rPr>
          <w:szCs w:val="18"/>
        </w:rPr>
        <w:t xml:space="preserve">volta ad accertare la conoscenza della logica delle metriche di valutazione di analisi finanziaria e finanza aziendale (parte applicativa), attraverso brevi esercizi. </w:t>
      </w:r>
    </w:p>
    <w:p w14:paraId="2052A101" w14:textId="17440EA3" w:rsidR="00FA7EC1" w:rsidRDefault="00581F91" w:rsidP="00181536">
      <w:pPr>
        <w:pStyle w:val="Testo2"/>
        <w:ind w:firstLine="0"/>
      </w:pPr>
      <w:r>
        <w:rPr>
          <w:szCs w:val="18"/>
        </w:rPr>
        <w:tab/>
      </w:r>
      <w:r w:rsidR="00181536">
        <w:rPr>
          <w:szCs w:val="18"/>
        </w:rPr>
        <w:t xml:space="preserve">La </w:t>
      </w:r>
      <w:r w:rsidR="00181536">
        <w:t>p</w:t>
      </w:r>
      <w:r w:rsidR="00FA7EC1" w:rsidRPr="004A4B7D">
        <w:t xml:space="preserve">rova scritta </w:t>
      </w:r>
      <w:r w:rsidR="00181536">
        <w:t xml:space="preserve">è </w:t>
      </w:r>
      <w:r w:rsidR="00FA7EC1">
        <w:t xml:space="preserve">di circa </w:t>
      </w:r>
      <w:r w:rsidR="00102A5D">
        <w:t>60-</w:t>
      </w:r>
      <w:r w:rsidR="00FA7EC1">
        <w:t>90</w:t>
      </w:r>
      <w:r w:rsidR="00181536">
        <w:t xml:space="preserve"> </w:t>
      </w:r>
      <w:r w:rsidR="00FA7EC1">
        <w:t>minuti</w:t>
      </w:r>
      <w:r w:rsidR="00FA7EC1" w:rsidRPr="004A4B7D">
        <w:t xml:space="preserve">. </w:t>
      </w:r>
      <w:r>
        <w:t>Qualora il numero degli studenti iscritti all’appello sia molto ridotto, il docente si riserva di effettuare un esame orale sostitutivo della prova scritta.</w:t>
      </w:r>
    </w:p>
    <w:p w14:paraId="5409483F" w14:textId="1DC3366C" w:rsidR="0012785A" w:rsidRDefault="0012785A" w:rsidP="00181536">
      <w:pPr>
        <w:pStyle w:val="Testo2"/>
        <w:ind w:firstLine="0"/>
      </w:pPr>
      <w:r>
        <w:t xml:space="preserve">Nella piattaforma Blackboard sono riportate istruzioni per effettuare test di autovalutazione. </w:t>
      </w:r>
    </w:p>
    <w:p w14:paraId="516482B3" w14:textId="66D22924" w:rsidR="00181536" w:rsidRDefault="00181536" w:rsidP="00581F91">
      <w:pPr>
        <w:pStyle w:val="Testo2"/>
        <w:rPr>
          <w:szCs w:val="18"/>
        </w:rPr>
      </w:pPr>
      <w:r>
        <w:rPr>
          <w:szCs w:val="18"/>
        </w:rPr>
        <w:t>Le domande di teoria previste nelle prove d'esame sviluppano singoli problemi riconducibili ai temi indicati nella presente Guida di Facoltà, invitando lo studente a confrontarsi con quesiti cui è possibile rispondere con un livello di approfondimento maggiore o minore. Prima della fine del corso</w:t>
      </w:r>
      <w:r w:rsidR="0012785A">
        <w:rPr>
          <w:szCs w:val="18"/>
        </w:rPr>
        <w:t>,</w:t>
      </w:r>
      <w:r>
        <w:rPr>
          <w:szCs w:val="18"/>
        </w:rPr>
        <w:t xml:space="preserve"> sarà pubblicato su Blackboard un analitico raccordo tra il programma dell’esame e le fonti documentali di riferimento (appunti, slides, esercizi, video, etc.), integralmente disponibili su Blackboard.</w:t>
      </w:r>
    </w:p>
    <w:p w14:paraId="17F6F40E" w14:textId="0871BFEF" w:rsidR="00181536" w:rsidRDefault="00181536" w:rsidP="00181536">
      <w:pPr>
        <w:pStyle w:val="Testo2"/>
        <w:rPr>
          <w:szCs w:val="18"/>
        </w:rPr>
      </w:pPr>
      <w:r>
        <w:rPr>
          <w:szCs w:val="18"/>
        </w:rPr>
        <w:t>Poiché ciascuno dei temi indicati nella presente Guida di Facoltà costituisce uno degli argomenti fondamentali della Finanza aziendale, il compito nel quale si rilevi un</w:t>
      </w:r>
      <w:r w:rsidR="0012785A">
        <w:rPr>
          <w:szCs w:val="18"/>
        </w:rPr>
        <w:t>’</w:t>
      </w:r>
      <w:r>
        <w:rPr>
          <w:szCs w:val="18"/>
        </w:rPr>
        <w:t>impreparazione totale su uno dei temi caratterizzanti l’insegnamento non può ottenere una valutazione sufficiente.</w:t>
      </w:r>
      <w:r w:rsidR="00B92691">
        <w:rPr>
          <w:szCs w:val="18"/>
        </w:rPr>
        <w:t xml:space="preserve"> </w:t>
      </w:r>
    </w:p>
    <w:p w14:paraId="77FD8D8E" w14:textId="1BCDB2CF" w:rsidR="00181536" w:rsidRDefault="00181536" w:rsidP="00181536">
      <w:pPr>
        <w:pStyle w:val="Testo2"/>
        <w:rPr>
          <w:szCs w:val="18"/>
        </w:rPr>
      </w:pPr>
      <w:r>
        <w:rPr>
          <w:szCs w:val="18"/>
        </w:rPr>
        <w:t xml:space="preserve">Una valutazione insufficiente in una domanda di teoria può </w:t>
      </w:r>
      <w:r w:rsidR="0012785A">
        <w:rPr>
          <w:szCs w:val="18"/>
        </w:rPr>
        <w:t xml:space="preserve">eventualmente </w:t>
      </w:r>
      <w:r>
        <w:rPr>
          <w:szCs w:val="18"/>
        </w:rPr>
        <w:t>dar luogo a una valutazione complessivamente sufficiente a condizione che essa non sia espressione di un</w:t>
      </w:r>
      <w:r w:rsidR="00B92691">
        <w:rPr>
          <w:szCs w:val="18"/>
        </w:rPr>
        <w:t>’</w:t>
      </w:r>
      <w:r>
        <w:rPr>
          <w:szCs w:val="18"/>
        </w:rPr>
        <w:t xml:space="preserve">impreparazione totale sul tema oggetto di esame e a condizione che le risposte agli altri </w:t>
      </w:r>
      <w:r>
        <w:rPr>
          <w:szCs w:val="18"/>
        </w:rPr>
        <w:lastRenderedPageBreak/>
        <w:t>quesiti, ivi inclusa la parte applicativa, giustifichino una valutazione complessivamente sufficiente.</w:t>
      </w:r>
    </w:p>
    <w:p w14:paraId="6B3DEB12" w14:textId="64915838" w:rsidR="008E7503" w:rsidRPr="008E7503" w:rsidRDefault="008E7503" w:rsidP="008E7503">
      <w:pPr>
        <w:spacing w:before="240" w:after="120" w:line="220" w:lineRule="exact"/>
        <w:rPr>
          <w:b/>
          <w:i/>
          <w:sz w:val="18"/>
        </w:rPr>
      </w:pPr>
      <w:r w:rsidRPr="008E7503">
        <w:rPr>
          <w:b/>
          <w:i/>
          <w:sz w:val="18"/>
        </w:rPr>
        <w:t>AVVERTENZE E PREREQUISITI</w:t>
      </w:r>
    </w:p>
    <w:p w14:paraId="32805D17" w14:textId="2AFD0F94" w:rsidR="00B472BE" w:rsidRPr="008E7503" w:rsidRDefault="00B472BE" w:rsidP="00DF152E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rPr>
          <w:rFonts w:ascii="Times" w:hAnsi="Times"/>
          <w:i/>
          <w:iCs/>
          <w:noProof/>
          <w:sz w:val="18"/>
          <w:szCs w:val="20"/>
        </w:rPr>
      </w:pPr>
      <w:r w:rsidRPr="008E7503">
        <w:rPr>
          <w:rFonts w:ascii="Times" w:hAnsi="Times"/>
          <w:noProof/>
          <w:sz w:val="18"/>
          <w:szCs w:val="20"/>
        </w:rPr>
        <w:t>L</w:t>
      </w:r>
      <w:r w:rsidR="00B92691">
        <w:rPr>
          <w:rFonts w:ascii="Times" w:hAnsi="Times"/>
          <w:noProof/>
          <w:sz w:val="18"/>
          <w:szCs w:val="20"/>
        </w:rPr>
        <w:t>’</w:t>
      </w:r>
      <w:r w:rsidRPr="008E7503">
        <w:rPr>
          <w:rFonts w:ascii="Times" w:hAnsi="Times"/>
          <w:noProof/>
          <w:sz w:val="18"/>
          <w:szCs w:val="20"/>
        </w:rPr>
        <w:t>a</w:t>
      </w:r>
      <w:r w:rsidR="00B92691">
        <w:rPr>
          <w:rFonts w:ascii="Times" w:hAnsi="Times"/>
          <w:noProof/>
          <w:sz w:val="18"/>
          <w:szCs w:val="20"/>
        </w:rPr>
        <w:t>ssidua</w:t>
      </w:r>
      <w:r w:rsidRPr="008E7503">
        <w:rPr>
          <w:rFonts w:ascii="Times" w:hAnsi="Times"/>
          <w:noProof/>
          <w:sz w:val="18"/>
          <w:szCs w:val="20"/>
        </w:rPr>
        <w:t xml:space="preserve"> frequenza alle lezioni</w:t>
      </w:r>
      <w:r w:rsidR="00102A5D">
        <w:rPr>
          <w:rFonts w:ascii="Times" w:hAnsi="Times"/>
          <w:noProof/>
          <w:sz w:val="18"/>
          <w:szCs w:val="20"/>
        </w:rPr>
        <w:t>, preferibilmente in presen</w:t>
      </w:r>
      <w:r w:rsidRPr="008E7503">
        <w:rPr>
          <w:rFonts w:ascii="Times" w:hAnsi="Times"/>
          <w:noProof/>
          <w:sz w:val="18"/>
          <w:szCs w:val="20"/>
        </w:rPr>
        <w:t xml:space="preserve"> è altamente consigliata, considerando anche i contenuti pratici e professionalizzanti della didattica.</w:t>
      </w:r>
      <w:r w:rsidR="008E7503" w:rsidRPr="008E7503">
        <w:rPr>
          <w:rFonts w:ascii="Times" w:hAnsi="Times"/>
          <w:noProof/>
          <w:sz w:val="18"/>
          <w:szCs w:val="20"/>
        </w:rPr>
        <w:t xml:space="preserve"> </w:t>
      </w:r>
    </w:p>
    <w:p w14:paraId="26C0331C" w14:textId="1C3643AF" w:rsidR="006F1772" w:rsidRPr="00DF152E" w:rsidRDefault="00B472BE" w:rsidP="00DF152E">
      <w:pPr>
        <w:spacing w:line="240" w:lineRule="auto"/>
        <w:ind w:firstLine="284"/>
        <w:rPr>
          <w:rFonts w:ascii="Times" w:hAnsi="Times"/>
          <w:noProof/>
          <w:sz w:val="18"/>
          <w:szCs w:val="20"/>
        </w:rPr>
      </w:pPr>
      <w:r w:rsidRPr="00B472BE">
        <w:rPr>
          <w:rFonts w:ascii="Times" w:hAnsi="Times"/>
          <w:noProof/>
          <w:sz w:val="18"/>
          <w:szCs w:val="20"/>
        </w:rPr>
        <w:t xml:space="preserve">Sono richieste conoscenze preliminari di contabilità </w:t>
      </w:r>
      <w:r w:rsidR="008E7503">
        <w:rPr>
          <w:rFonts w:ascii="Times" w:hAnsi="Times"/>
          <w:noProof/>
          <w:sz w:val="18"/>
          <w:szCs w:val="20"/>
        </w:rPr>
        <w:t xml:space="preserve">e bilancio (economia aziendale; metodologie e determinazioni quantitative d’azienda) </w:t>
      </w:r>
      <w:r w:rsidRPr="00B472BE">
        <w:rPr>
          <w:rFonts w:ascii="Times" w:hAnsi="Times"/>
          <w:noProof/>
          <w:sz w:val="18"/>
          <w:szCs w:val="20"/>
        </w:rPr>
        <w:t xml:space="preserve">e rudimenti di matematica finanziaria e </w:t>
      </w:r>
      <w:r w:rsidR="008E7503">
        <w:rPr>
          <w:rFonts w:ascii="Times" w:hAnsi="Times"/>
          <w:noProof/>
          <w:sz w:val="18"/>
          <w:szCs w:val="20"/>
        </w:rPr>
        <w:t xml:space="preserve">di </w:t>
      </w:r>
      <w:r w:rsidRPr="00B472BE">
        <w:rPr>
          <w:rFonts w:ascii="Times" w:hAnsi="Times"/>
          <w:noProof/>
          <w:sz w:val="18"/>
          <w:szCs w:val="20"/>
        </w:rPr>
        <w:t>statistica</w:t>
      </w:r>
      <w:r w:rsidR="008E7503">
        <w:rPr>
          <w:rFonts w:ascii="Times" w:hAnsi="Times"/>
          <w:noProof/>
          <w:sz w:val="18"/>
          <w:szCs w:val="20"/>
        </w:rPr>
        <w:t xml:space="preserve"> (corso base)</w:t>
      </w:r>
      <w:r w:rsidRPr="00B472BE">
        <w:rPr>
          <w:rFonts w:ascii="Times" w:hAnsi="Times"/>
          <w:noProof/>
          <w:sz w:val="18"/>
          <w:szCs w:val="20"/>
        </w:rPr>
        <w:t>.</w:t>
      </w:r>
    </w:p>
    <w:sectPr w:rsidR="006F1772" w:rsidRPr="00DF152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5B9D" w14:textId="77777777" w:rsidR="00F761F9" w:rsidRDefault="00F761F9" w:rsidP="00FA7EC1">
      <w:pPr>
        <w:spacing w:line="240" w:lineRule="auto"/>
      </w:pPr>
      <w:r>
        <w:separator/>
      </w:r>
    </w:p>
  </w:endnote>
  <w:endnote w:type="continuationSeparator" w:id="0">
    <w:p w14:paraId="62D8A458" w14:textId="77777777" w:rsidR="00F761F9" w:rsidRDefault="00F761F9" w:rsidP="00FA7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C8EE" w14:textId="77777777" w:rsidR="00F761F9" w:rsidRDefault="00F761F9" w:rsidP="00FA7EC1">
      <w:pPr>
        <w:spacing w:line="240" w:lineRule="auto"/>
      </w:pPr>
      <w:r>
        <w:separator/>
      </w:r>
    </w:p>
  </w:footnote>
  <w:footnote w:type="continuationSeparator" w:id="0">
    <w:p w14:paraId="4BADC693" w14:textId="77777777" w:rsidR="00F761F9" w:rsidRDefault="00F761F9" w:rsidP="00FA7E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F1D"/>
    <w:multiLevelType w:val="hybridMultilevel"/>
    <w:tmpl w:val="5B541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F75D5"/>
    <w:multiLevelType w:val="hybridMultilevel"/>
    <w:tmpl w:val="659216EA"/>
    <w:lvl w:ilvl="0" w:tplc="038A18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2265AC"/>
    <w:multiLevelType w:val="hybridMultilevel"/>
    <w:tmpl w:val="27A8D95A"/>
    <w:lvl w:ilvl="0" w:tplc="5AD2C1F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683465">
    <w:abstractNumId w:val="2"/>
  </w:num>
  <w:num w:numId="2" w16cid:durableId="190848168">
    <w:abstractNumId w:val="0"/>
  </w:num>
  <w:num w:numId="3" w16cid:durableId="411705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102A5D"/>
    <w:rsid w:val="0010411C"/>
    <w:rsid w:val="0012785A"/>
    <w:rsid w:val="00181536"/>
    <w:rsid w:val="00187B99"/>
    <w:rsid w:val="002014DD"/>
    <w:rsid w:val="00225576"/>
    <w:rsid w:val="004314D6"/>
    <w:rsid w:val="0046223D"/>
    <w:rsid w:val="004D1217"/>
    <w:rsid w:val="004D6008"/>
    <w:rsid w:val="005027BA"/>
    <w:rsid w:val="005702C7"/>
    <w:rsid w:val="005715B8"/>
    <w:rsid w:val="00581F91"/>
    <w:rsid w:val="00647016"/>
    <w:rsid w:val="0068107A"/>
    <w:rsid w:val="006F1772"/>
    <w:rsid w:val="008661CE"/>
    <w:rsid w:val="008A1204"/>
    <w:rsid w:val="008D44DC"/>
    <w:rsid w:val="008E7503"/>
    <w:rsid w:val="00900CCA"/>
    <w:rsid w:val="009038B4"/>
    <w:rsid w:val="00924B77"/>
    <w:rsid w:val="00940DA2"/>
    <w:rsid w:val="009C44B0"/>
    <w:rsid w:val="009E055C"/>
    <w:rsid w:val="00A74F6F"/>
    <w:rsid w:val="00AD7557"/>
    <w:rsid w:val="00B472BE"/>
    <w:rsid w:val="00B51253"/>
    <w:rsid w:val="00B525CC"/>
    <w:rsid w:val="00B92691"/>
    <w:rsid w:val="00BE29BD"/>
    <w:rsid w:val="00D404F2"/>
    <w:rsid w:val="00D753FE"/>
    <w:rsid w:val="00DE3764"/>
    <w:rsid w:val="00DF152E"/>
    <w:rsid w:val="00E525C8"/>
    <w:rsid w:val="00E607E6"/>
    <w:rsid w:val="00E64C62"/>
    <w:rsid w:val="00EC6BAE"/>
    <w:rsid w:val="00F43918"/>
    <w:rsid w:val="00F761F9"/>
    <w:rsid w:val="00F87EE5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08998"/>
  <w15:docId w15:val="{BBD595B5-8133-4C3D-A99B-F369F48B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A7EC1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EC1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A7EC1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FA7EC1"/>
    <w:rPr>
      <w:rFonts w:eastAsia="Calibri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4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B313727E2C943AEA4A5C939B9A552" ma:contentTypeVersion="13" ma:contentTypeDescription="Creare un nuovo documento." ma:contentTypeScope="" ma:versionID="1b33eee3be11932ea01e579f8f207654">
  <xsd:schema xmlns:xsd="http://www.w3.org/2001/XMLSchema" xmlns:xs="http://www.w3.org/2001/XMLSchema" xmlns:p="http://schemas.microsoft.com/office/2006/metadata/properties" xmlns:ns3="3e4255e8-797e-4548-ac89-1789c2211914" xmlns:ns4="8326b387-fbad-4b35-ae86-7b277b7bbd49" targetNamespace="http://schemas.microsoft.com/office/2006/metadata/properties" ma:root="true" ma:fieldsID="0018c9ce492e304b2e328c30e23fc5bf" ns3:_="" ns4:_="">
    <xsd:import namespace="3e4255e8-797e-4548-ac89-1789c2211914"/>
    <xsd:import namespace="8326b387-fbad-4b35-ae86-7b277b7bb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55e8-797e-4548-ac89-1789c221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6b387-fbad-4b35-ae86-7b277b7bb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7DF79-D8CA-48CA-957D-E7917FA89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55e8-797e-4548-ac89-1789c2211914"/>
    <ds:schemaRef ds:uri="8326b387-fbad-4b35-ae86-7b277b7b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82297-53CD-4426-8684-957079263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8024F-1992-4AB3-A47A-506B5B8BC1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2003-03-27T09:42:00Z</cp:lastPrinted>
  <dcterms:created xsi:type="dcterms:W3CDTF">2022-04-25T14:46:00Z</dcterms:created>
  <dcterms:modified xsi:type="dcterms:W3CDTF">2022-04-25T14:47:00Z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0x01010019FB313727E2C943AEA4A5C939B9A552</vt:lpwstr>
  </property>
</Properties>
</file>