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C864D" w14:textId="0E4972A2" w:rsidR="00922F48" w:rsidRDefault="00922F48" w:rsidP="00922F48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sz w:val="18"/>
          <w:szCs w:val="20"/>
          <w:lang w:eastAsia="it-IT"/>
        </w:rPr>
        <w:t>Diritto delle crisi di impresa</w:t>
      </w:r>
    </w:p>
    <w:p w14:paraId="32BF6C32" w14:textId="5F63F897" w:rsidR="00922F48" w:rsidRPr="00922F48" w:rsidRDefault="00922F48" w:rsidP="00922F48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mallCaps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smallCaps/>
          <w:sz w:val="18"/>
          <w:szCs w:val="20"/>
          <w:lang w:eastAsia="it-IT"/>
        </w:rPr>
        <w:t>Prof. Amedeo Valzer</w:t>
      </w:r>
    </w:p>
    <w:p w14:paraId="0E8342F0" w14:textId="603F31F6" w:rsidR="0012352C" w:rsidRPr="00922F48" w:rsidRDefault="0012352C" w:rsidP="0012352C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OBIETTIVO DEL CORSO E RISULTATI DI APPRENDIMENTO ATTESI</w:t>
      </w:r>
    </w:p>
    <w:p w14:paraId="5CABA9D5" w14:textId="69CF3A3B" w:rsidR="0012352C" w:rsidRPr="0012352C" w:rsidRDefault="0012352C" w:rsidP="0012352C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Il corso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fornirà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allo studente un quadro complessivo della disciplina giuridica delle procedure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di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="004B4B65">
        <w:rPr>
          <w:rFonts w:ascii="Times" w:eastAsia="Times New Roman" w:hAnsi="Times" w:cs="Times New Roman"/>
          <w:sz w:val="20"/>
          <w:szCs w:val="20"/>
          <w:lang w:eastAsia="it-IT"/>
        </w:rPr>
        <w:t xml:space="preserve">gestione e di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soluzione delle crisi d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ell’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impresa.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Verranno illustrati,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sul piano teorico e pratico,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gli istituti finalizzati alla rilevazione e alla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 prevenzione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delle crisi di impresa e saranno esaminate le singole procedure concorsuali,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sia quelle aventi finalità conservativa, sia quelle aventi finalità liquidatoria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. </w:t>
      </w:r>
      <w:r w:rsidR="008C547C">
        <w:rPr>
          <w:rFonts w:ascii="Times" w:eastAsia="Times New Roman" w:hAnsi="Times" w:cs="Times New Roman"/>
          <w:sz w:val="20"/>
          <w:szCs w:val="20"/>
          <w:lang w:eastAsia="it-IT"/>
        </w:rPr>
        <w:t>S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aranno </w:t>
      </w:r>
      <w:r w:rsidR="008C547C">
        <w:rPr>
          <w:rFonts w:ascii="Times" w:eastAsia="Times New Roman" w:hAnsi="Times" w:cs="Times New Roman"/>
          <w:sz w:val="20"/>
          <w:szCs w:val="20"/>
          <w:lang w:eastAsia="it-IT"/>
        </w:rPr>
        <w:t>altresì d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edicati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brevi cenni alle procedure previste per gli operatori economici diversi dalle imprese commerciali.</w:t>
      </w:r>
    </w:p>
    <w:p w14:paraId="409F3682" w14:textId="77777777" w:rsidR="0012352C" w:rsidRPr="0012352C" w:rsidRDefault="0012352C" w:rsidP="0012352C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Al termine del corso lo studente:</w:t>
      </w:r>
    </w:p>
    <w:p w14:paraId="36FAE2CF" w14:textId="77777777" w:rsidR="0012352C" w:rsidRPr="0012352C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1.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ab/>
        <w:t>conoscerà e saprà inquadrare le funzioni e le finalità delle procedure oggetto del programma del corso;</w:t>
      </w:r>
    </w:p>
    <w:p w14:paraId="51DBE0E9" w14:textId="77777777" w:rsidR="0012352C" w:rsidRPr="0012352C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2.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ab/>
        <w:t>saprà applicare le competenze così acquisite secondo un approccio professionale orientato ad argomentare e risolvere le problematiche di diritto concorsuale;</w:t>
      </w:r>
    </w:p>
    <w:p w14:paraId="7B502FF2" w14:textId="787F4B35" w:rsidR="0012352C" w:rsidRPr="0012352C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3.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ab/>
        <w:t xml:space="preserve">saprà formulare giudizi e valutazioni sulla base di informazioni, anche incomplete, </w:t>
      </w:r>
      <w:r w:rsidR="008C547C">
        <w:rPr>
          <w:rFonts w:ascii="Times" w:eastAsia="Times New Roman" w:hAnsi="Times" w:cs="Times New Roman"/>
          <w:sz w:val="20"/>
          <w:szCs w:val="20"/>
          <w:lang w:eastAsia="it-IT"/>
        </w:rPr>
        <w:t xml:space="preserve">e integrare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le conoscenze attingendo alle fonti normative, giurisprudenziali e di prassi di volta in volta applicabili;</w:t>
      </w:r>
    </w:p>
    <w:p w14:paraId="4E4C46EE" w14:textId="77777777" w:rsidR="0012352C" w:rsidRPr="0012352C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4.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ab/>
        <w:t>saprà comunicare in modo chiaro e privo di ambiguità le proprie conclusioni nei confronti di interlocutori specialisti e non specialisti;</w:t>
      </w:r>
    </w:p>
    <w:p w14:paraId="5F4A0794" w14:textId="77777777" w:rsidR="0012352C" w:rsidRPr="0012352C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5.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ab/>
        <w:t>saprà cogliere le criticità che potranno presentarsi nella gestione delle crisi d’impresa ed assumere le necessarie determinazioni con adeguato grado di autonomia di giudizio.</w:t>
      </w:r>
    </w:p>
    <w:p w14:paraId="3611A0EB" w14:textId="77777777" w:rsidR="0012352C" w:rsidRPr="00922F48" w:rsidRDefault="0012352C" w:rsidP="0012352C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PROGRAMMA DEL CORSO</w:t>
      </w:r>
    </w:p>
    <w:p w14:paraId="5D571D47" w14:textId="19D84E27" w:rsidR="0012352C" w:rsidRPr="0012352C" w:rsidRDefault="0012352C" w:rsidP="0012352C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1. La nozione di crisi normativamente rilevante. 2.</w:t>
      </w:r>
      <w:r w:rsidR="004B4B65">
        <w:rPr>
          <w:rFonts w:ascii="Times" w:eastAsia="Times New Roman" w:hAnsi="Times" w:cs="Times New Roman"/>
          <w:sz w:val="20"/>
          <w:szCs w:val="20"/>
          <w:lang w:eastAsia="it-IT"/>
        </w:rPr>
        <w:t xml:space="preserve"> La c</w:t>
      </w:r>
      <w:r w:rsidR="004B4B65" w:rsidRPr="004B4B65">
        <w:rPr>
          <w:rFonts w:ascii="Times" w:eastAsia="Times New Roman" w:hAnsi="Times" w:cs="Times New Roman"/>
          <w:sz w:val="20"/>
          <w:szCs w:val="20"/>
          <w:lang w:eastAsia="it-IT"/>
        </w:rPr>
        <w:t>omposizione negoziata della crisi di impresa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. 3. Gli accordi stragiudiziali e i piani attestati di risanamento. 4. Gli accordi di ristrutturazione (proposta e effetti). 5. L’accesso alle procedure concorsuali (domanda di ammissione; ufficio giudiziale; effetti). 6. Il concordato preventivo (proposta; amministrazione; effetti; voto dei creditori; omologazione; esecuzione; risoluzione e annullamento). 7. </w:t>
      </w:r>
      <w:r w:rsidR="005C597F">
        <w:rPr>
          <w:rFonts w:ascii="Times" w:eastAsia="Times New Roman" w:hAnsi="Times" w:cs="Times New Roman"/>
          <w:sz w:val="20"/>
          <w:szCs w:val="20"/>
          <w:lang w:eastAsia="it-IT"/>
        </w:rPr>
        <w:t>Il fallimento/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liquidazione giudiziale (ruolo del curatore; effetti; patrimonio </w:t>
      </w:r>
      <w:r w:rsidRPr="0012352C">
        <w:rPr>
          <w:rFonts w:ascii="Times New Roman" w:eastAsia="Times New Roman" w:hAnsi="Times New Roman" w:cs="Times New Roman"/>
          <w:sz w:val="20"/>
          <w:szCs w:val="20"/>
          <w:lang w:eastAsia="it-IT"/>
        </w:rPr>
        <w:t>«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responsabile</w:t>
      </w:r>
      <w:r w:rsidRPr="0012352C">
        <w:rPr>
          <w:rFonts w:ascii="Times New Roman" w:eastAsia="Times New Roman" w:hAnsi="Times New Roman" w:cs="Times New Roman"/>
          <w:sz w:val="20"/>
          <w:szCs w:val="20"/>
          <w:lang w:eastAsia="it-IT"/>
        </w:rPr>
        <w:t>»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 e sua ricostruzione; stato passivo; liquidazione; chiusura della procedura). 8. Le procedure di composizione della crisi da sovraindebitamento (cenni)</w:t>
      </w:r>
      <w:r w:rsidRPr="0012352C">
        <w:rPr>
          <w:rFonts w:ascii="Times" w:eastAsia="Times New Roman" w:hAnsi="Times" w:cs="Times New Roman"/>
          <w:i/>
          <w:sz w:val="20"/>
          <w:szCs w:val="20"/>
          <w:lang w:eastAsia="it-IT"/>
        </w:rPr>
        <w:t>.</w:t>
      </w:r>
    </w:p>
    <w:p w14:paraId="720B18B0" w14:textId="113A1A96" w:rsidR="0012352C" w:rsidRPr="00922F48" w:rsidRDefault="0012352C" w:rsidP="0012352C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lastRenderedPageBreak/>
        <w:t>BIBLIOGRAFIA</w:t>
      </w:r>
      <w:r w:rsidR="00E10139">
        <w:rPr>
          <w:rStyle w:val="Rimandonotaapidipagina"/>
          <w:rFonts w:ascii="Times" w:eastAsia="Times New Roman" w:hAnsi="Times" w:cs="Times New Roman"/>
          <w:b/>
          <w:i/>
          <w:sz w:val="18"/>
          <w:szCs w:val="20"/>
          <w:lang w:eastAsia="it-IT"/>
        </w:rPr>
        <w:footnoteReference w:id="1"/>
      </w:r>
    </w:p>
    <w:p w14:paraId="2EBF075B" w14:textId="77777777" w:rsidR="0012352C" w:rsidRPr="0012352C" w:rsidRDefault="0012352C" w:rsidP="00922F48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12352C">
        <w:rPr>
          <w:rFonts w:ascii="Times" w:eastAsia="Times New Roman" w:hAnsi="Times" w:cs="Times New Roman"/>
          <w:bCs/>
          <w:noProof/>
          <w:sz w:val="18"/>
          <w:szCs w:val="20"/>
          <w:lang w:eastAsia="it-IT"/>
        </w:rPr>
        <w:t>Materiale normativo</w:t>
      </w:r>
      <w:r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: </w:t>
      </w:r>
    </w:p>
    <w:p w14:paraId="718A0BCB" w14:textId="59FE6042" w:rsidR="0012352C" w:rsidRPr="0012352C" w:rsidRDefault="008C547C" w:rsidP="00922F48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Co</w:t>
      </w:r>
      <w:r w:rsidR="0012352C"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dice della crisi d’impresa e dell’insolvenza (d. lgs. 12 gennaio 2019, n. 14) e </w:t>
      </w:r>
      <w:r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>Legge fallimentare (r.d. 16 marzo 1942, n. 267)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, nonché le a</w:t>
      </w:r>
      <w:r w:rsidR="0012352C"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>ltre leggi richiamate a lezione o nei testi di seguito indicati.</w:t>
      </w:r>
    </w:p>
    <w:p w14:paraId="57F34D80" w14:textId="193E060F" w:rsidR="0012352C" w:rsidRDefault="0012352C" w:rsidP="00922F48">
      <w:pPr>
        <w:spacing w:before="120"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12352C">
        <w:rPr>
          <w:rFonts w:ascii="Times" w:eastAsia="Times New Roman" w:hAnsi="Times" w:cs="Times New Roman"/>
          <w:bCs/>
          <w:noProof/>
          <w:sz w:val="18"/>
          <w:szCs w:val="20"/>
          <w:lang w:eastAsia="it-IT"/>
        </w:rPr>
        <w:t>Manuald</w:t>
      </w:r>
      <w:r w:rsidR="00180AB2">
        <w:rPr>
          <w:rFonts w:ascii="Times" w:eastAsia="Times New Roman" w:hAnsi="Times" w:cs="Times New Roman"/>
          <w:bCs/>
          <w:noProof/>
          <w:sz w:val="18"/>
          <w:szCs w:val="20"/>
          <w:lang w:eastAsia="it-IT"/>
        </w:rPr>
        <w:t>e d</w:t>
      </w:r>
      <w:r w:rsidRPr="0012352C">
        <w:rPr>
          <w:rFonts w:ascii="Times" w:eastAsia="Times New Roman" w:hAnsi="Times" w:cs="Times New Roman"/>
          <w:bCs/>
          <w:noProof/>
          <w:sz w:val="18"/>
          <w:szCs w:val="20"/>
          <w:lang w:eastAsia="it-IT"/>
        </w:rPr>
        <w:t>i riferimento</w:t>
      </w:r>
      <w:r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: </w:t>
      </w:r>
    </w:p>
    <w:p w14:paraId="4B8D442A" w14:textId="27A2B080" w:rsidR="005C597F" w:rsidRPr="0012352C" w:rsidRDefault="005C597F" w:rsidP="00922F48">
      <w:pPr>
        <w:spacing w:before="120"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5C597F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Aa. Vv.,</w:t>
      </w:r>
      <w:r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 xml:space="preserve"> </w:t>
      </w:r>
      <w:r w:rsidRPr="005C597F"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>Diritto commerciale.</w:t>
      </w:r>
      <w:r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 xml:space="preserve"> II.</w:t>
      </w:r>
      <w:r w:rsidRPr="005C597F"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 xml:space="preserve"> Diritto della crisi d'impresa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, a cura di Marco Cian, Giappichelli, Torino, 2018.</w:t>
      </w:r>
      <w:r w:rsidR="00E10139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</w:t>
      </w:r>
      <w:hyperlink r:id="rId9" w:history="1">
        <w:r w:rsidR="00E10139" w:rsidRPr="00E10139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7A46479" w14:textId="1EEE022A" w:rsidR="0012352C" w:rsidRPr="0012352C" w:rsidRDefault="0012352C" w:rsidP="005C597F">
      <w:pPr>
        <w:spacing w:after="0" w:line="240" w:lineRule="atLeast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12352C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Ulteriori riferimenti bibliografici saranno comunicati durante le lezioni e con appositi avvisi sulla</w:t>
      </w:r>
      <w:r w:rsidR="005C597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</w:t>
      </w:r>
      <w:r w:rsidRPr="0012352C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pagina personale docente. Materiale integrativo </w:t>
      </w:r>
      <w:r w:rsidR="007A069D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verrà</w:t>
      </w:r>
      <w:r w:rsidRPr="0012352C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messo a disposizione su </w:t>
      </w:r>
      <w:r w:rsidRPr="0012352C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>blackboard</w:t>
      </w:r>
      <w:r w:rsidRPr="0012352C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.</w:t>
      </w:r>
    </w:p>
    <w:p w14:paraId="58AF647A" w14:textId="77777777" w:rsidR="0012352C" w:rsidRPr="00922F48" w:rsidRDefault="0012352C" w:rsidP="0012352C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  <w:t>DIDATTICA DEL CORSO</w:t>
      </w:r>
    </w:p>
    <w:p w14:paraId="5BAE7316" w14:textId="77777777" w:rsidR="0012352C" w:rsidRPr="0012352C" w:rsidRDefault="0012352C" w:rsidP="0012352C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Arial Unicode MS" w:hAnsi="Times" w:cs="Times New Roman"/>
          <w:noProof/>
          <w:sz w:val="18"/>
          <w:szCs w:val="20"/>
          <w:lang w:eastAsia="it-IT"/>
        </w:rPr>
      </w:pPr>
      <w:r w:rsidRPr="0012352C">
        <w:rPr>
          <w:rFonts w:ascii="Times" w:eastAsia="Arial Unicode MS" w:hAnsi="Times" w:cs="Times New Roman"/>
          <w:noProof/>
          <w:sz w:val="18"/>
          <w:szCs w:val="20"/>
          <w:lang w:eastAsia="it-IT"/>
        </w:rPr>
        <w:t xml:space="preserve">Lezioni in aula. </w:t>
      </w:r>
    </w:p>
    <w:p w14:paraId="4E81F9DE" w14:textId="77777777" w:rsidR="0012352C" w:rsidRPr="00922F48" w:rsidRDefault="0012352C" w:rsidP="0012352C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  <w:t xml:space="preserve">METODO </w:t>
      </w:r>
      <w:r w:rsidR="00667B7F" w:rsidRPr="00922F48"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  <w:t xml:space="preserve">E CRITERI </w:t>
      </w:r>
      <w:r w:rsidRPr="00922F48"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  <w:t>DI VALUTAZIONE</w:t>
      </w:r>
    </w:p>
    <w:p w14:paraId="6B5BA28C" w14:textId="77777777" w:rsidR="0012352C" w:rsidRPr="0012352C" w:rsidRDefault="0012352C" w:rsidP="0012352C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Arial Unicode MS" w:hAnsi="Times" w:cs="Times New Roman"/>
          <w:noProof/>
          <w:sz w:val="18"/>
          <w:szCs w:val="20"/>
          <w:lang w:eastAsia="it-IT"/>
        </w:rPr>
      </w:pPr>
      <w:r w:rsidRPr="0012352C">
        <w:rPr>
          <w:rFonts w:ascii="Times" w:eastAsia="Arial Unicode MS" w:hAnsi="Times" w:cs="Times New Roman"/>
          <w:noProof/>
          <w:sz w:val="18"/>
          <w:szCs w:val="20"/>
          <w:lang w:eastAsia="it-IT"/>
        </w:rPr>
        <w:t xml:space="preserve">L’esame mira a valutare il conseguimento degli obiettivi didattici sopra descritti e la preparazione dello studente. Esso si svolge in forma </w:t>
      </w:r>
      <w:r w:rsidR="00512C7C">
        <w:rPr>
          <w:rFonts w:ascii="Times" w:eastAsia="Arial Unicode MS" w:hAnsi="Times" w:cs="Times New Roman"/>
          <w:noProof/>
          <w:sz w:val="18"/>
          <w:szCs w:val="20"/>
          <w:lang w:eastAsia="it-IT"/>
        </w:rPr>
        <w:t>orale</w:t>
      </w:r>
      <w:r w:rsidRPr="0012352C">
        <w:rPr>
          <w:rFonts w:ascii="Times" w:eastAsia="Arial Unicode MS" w:hAnsi="Times" w:cs="Times New Roman"/>
          <w:noProof/>
          <w:sz w:val="18"/>
          <w:szCs w:val="20"/>
          <w:lang w:eastAsia="it-IT"/>
        </w:rPr>
        <w:t xml:space="preserve"> e consiste in tre domande </w:t>
      </w:r>
      <w:r w:rsidR="00512C7C">
        <w:rPr>
          <w:rFonts w:ascii="Times" w:eastAsia="Arial Unicode MS" w:hAnsi="Times" w:cs="Times New Roman"/>
          <w:noProof/>
          <w:sz w:val="18"/>
          <w:szCs w:val="20"/>
          <w:lang w:eastAsia="it-IT"/>
        </w:rPr>
        <w:t xml:space="preserve">sulle varie parti del programma del corso. </w:t>
      </w:r>
      <w:r w:rsidRPr="0012352C">
        <w:rPr>
          <w:rFonts w:ascii="Times" w:eastAsia="Arial Unicode MS" w:hAnsi="Times" w:cs="Times New Roman"/>
          <w:noProof/>
          <w:sz w:val="18"/>
          <w:szCs w:val="20"/>
          <w:lang w:eastAsia="it-IT"/>
        </w:rPr>
        <w:t>Il voto è attribuito sulla base dei seguenti fattori: completezza della preparazione e padronanza delle questioni proposte (fino a 18 punti); capacità argomentativa e critica, anche in base alla capacità di mettere in relazione le diverse parti del programma (fino a 7 punti); proprietà linguistica (fino a 5 punti). Non è prevista la prova intermedia.</w:t>
      </w:r>
    </w:p>
    <w:p w14:paraId="3577BA17" w14:textId="77777777" w:rsidR="0012352C" w:rsidRPr="00922F48" w:rsidRDefault="0012352C" w:rsidP="0012352C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  <w:t>AVVERTENZE E PREREQUISITI</w:t>
      </w:r>
    </w:p>
    <w:p w14:paraId="4D2AC71E" w14:textId="77777777" w:rsidR="00544A84" w:rsidRDefault="0012352C" w:rsidP="00512C7C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>La frequenza al corso è fortemente raccomandata. Si raccomanda, altresì, di seguire il corso solo dopo aver superato l’esame di Diritto commerciale.</w:t>
      </w:r>
    </w:p>
    <w:p w14:paraId="7FF2F88E" w14:textId="075B299A" w:rsidR="008C547C" w:rsidRPr="00A70751" w:rsidRDefault="008C547C" w:rsidP="008C547C">
      <w:pPr>
        <w:pStyle w:val="Testo2"/>
        <w:spacing w:before="120"/>
        <w:rPr>
          <w:rFonts w:eastAsia="MS Mincho"/>
          <w:i/>
        </w:rPr>
      </w:pPr>
      <w:r w:rsidRPr="00A70751">
        <w:rPr>
          <w:rFonts w:eastAsia="MS Mincho"/>
          <w:i/>
        </w:rPr>
        <w:t xml:space="preserve">Orario </w:t>
      </w:r>
      <w:r>
        <w:rPr>
          <w:rFonts w:eastAsia="MS Mincho"/>
          <w:i/>
        </w:rPr>
        <w:t>e</w:t>
      </w:r>
      <w:r w:rsidRPr="00A70751">
        <w:rPr>
          <w:rFonts w:eastAsia="MS Mincho"/>
          <w:i/>
        </w:rPr>
        <w:t xml:space="preserve"> </w:t>
      </w:r>
      <w:r>
        <w:rPr>
          <w:rFonts w:eastAsia="MS Mincho"/>
          <w:i/>
        </w:rPr>
        <w:t>l</w:t>
      </w:r>
      <w:r w:rsidRPr="00A70751">
        <w:rPr>
          <w:rFonts w:eastAsia="MS Mincho"/>
          <w:i/>
        </w:rPr>
        <w:t xml:space="preserve">uogo </w:t>
      </w:r>
      <w:r>
        <w:rPr>
          <w:rFonts w:eastAsia="MS Mincho"/>
          <w:i/>
        </w:rPr>
        <w:t>d</w:t>
      </w:r>
      <w:r w:rsidRPr="00A70751">
        <w:rPr>
          <w:rFonts w:eastAsia="MS Mincho"/>
          <w:i/>
        </w:rPr>
        <w:t xml:space="preserve">i </w:t>
      </w:r>
      <w:r>
        <w:rPr>
          <w:rFonts w:eastAsia="MS Mincho"/>
          <w:i/>
        </w:rPr>
        <w:t>r</w:t>
      </w:r>
      <w:r w:rsidRPr="00A70751">
        <w:rPr>
          <w:rFonts w:eastAsia="MS Mincho"/>
          <w:i/>
        </w:rPr>
        <w:t xml:space="preserve">icevimento </w:t>
      </w:r>
    </w:p>
    <w:p w14:paraId="27365932" w14:textId="77777777" w:rsidR="008C547C" w:rsidRPr="00227E4B" w:rsidRDefault="008C547C" w:rsidP="008C547C">
      <w:pPr>
        <w:pStyle w:val="Testo2"/>
      </w:pPr>
      <w:r w:rsidRPr="00227E4B">
        <w:t xml:space="preserve">Gli orari di ricevimento sono disponibili </w:t>
      </w:r>
      <w:r w:rsidRPr="002B4937">
        <w:rPr>
          <w:i/>
          <w:iCs/>
        </w:rPr>
        <w:t>on line</w:t>
      </w:r>
      <w:r w:rsidRPr="00227E4B">
        <w:t xml:space="preserve"> nella pagina personale del docente, consulta</w:t>
      </w:r>
      <w:r w:rsidRPr="00A70751">
        <w:t xml:space="preserve">bile al sito </w:t>
      </w:r>
      <w:hyperlink r:id="rId10" w:history="1">
        <w:r w:rsidRPr="00A70751">
          <w:rPr>
            <w:rStyle w:val="Collegamentoipertestuale"/>
          </w:rPr>
          <w:t>http://docenti.unicatt.it/</w:t>
        </w:r>
      </w:hyperlink>
    </w:p>
    <w:sectPr w:rsidR="008C547C" w:rsidRPr="00227E4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75289" w14:textId="77777777" w:rsidR="00AA0E3C" w:rsidRDefault="00AA0E3C" w:rsidP="0012352C">
      <w:pPr>
        <w:spacing w:after="0" w:line="240" w:lineRule="auto"/>
      </w:pPr>
      <w:r>
        <w:separator/>
      </w:r>
    </w:p>
  </w:endnote>
  <w:endnote w:type="continuationSeparator" w:id="0">
    <w:p w14:paraId="5EC05E63" w14:textId="77777777" w:rsidR="00AA0E3C" w:rsidRDefault="00AA0E3C" w:rsidP="0012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1B247" w14:textId="77777777" w:rsidR="00AA0E3C" w:rsidRDefault="00AA0E3C" w:rsidP="0012352C">
      <w:pPr>
        <w:spacing w:after="0" w:line="240" w:lineRule="auto"/>
      </w:pPr>
      <w:r>
        <w:separator/>
      </w:r>
    </w:p>
  </w:footnote>
  <w:footnote w:type="continuationSeparator" w:id="0">
    <w:p w14:paraId="063F9772" w14:textId="77777777" w:rsidR="00AA0E3C" w:rsidRDefault="00AA0E3C" w:rsidP="0012352C">
      <w:pPr>
        <w:spacing w:after="0" w:line="240" w:lineRule="auto"/>
      </w:pPr>
      <w:r>
        <w:continuationSeparator/>
      </w:r>
    </w:p>
  </w:footnote>
  <w:footnote w:id="1">
    <w:p w14:paraId="7D1A9B2B" w14:textId="68C4B7CB" w:rsidR="00E10139" w:rsidRDefault="00E101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EC5"/>
    <w:multiLevelType w:val="hybridMultilevel"/>
    <w:tmpl w:val="8E8ABD2A"/>
    <w:lvl w:ilvl="0" w:tplc="70C49E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2C"/>
    <w:rsid w:val="0012352C"/>
    <w:rsid w:val="00180AB2"/>
    <w:rsid w:val="00300F11"/>
    <w:rsid w:val="003707F6"/>
    <w:rsid w:val="004B4B65"/>
    <w:rsid w:val="004C5DC0"/>
    <w:rsid w:val="004E4239"/>
    <w:rsid w:val="00512C7C"/>
    <w:rsid w:val="00544A84"/>
    <w:rsid w:val="005C597F"/>
    <w:rsid w:val="00667B7F"/>
    <w:rsid w:val="006732B6"/>
    <w:rsid w:val="00722A44"/>
    <w:rsid w:val="00766B67"/>
    <w:rsid w:val="007A069D"/>
    <w:rsid w:val="007E66A8"/>
    <w:rsid w:val="00841893"/>
    <w:rsid w:val="008C547C"/>
    <w:rsid w:val="00922F48"/>
    <w:rsid w:val="00951CCC"/>
    <w:rsid w:val="009C5921"/>
    <w:rsid w:val="009D3904"/>
    <w:rsid w:val="00AA0E3C"/>
    <w:rsid w:val="00AF1DDF"/>
    <w:rsid w:val="00B17CD5"/>
    <w:rsid w:val="00B17F08"/>
    <w:rsid w:val="00CA2C57"/>
    <w:rsid w:val="00E10139"/>
    <w:rsid w:val="00F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3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22F48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2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12352C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35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2352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12C7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54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547C"/>
    <w:rPr>
      <w:rFonts w:eastAsiaTheme="minorEastAsia"/>
      <w:color w:val="5A5A5A" w:themeColor="text1" w:themeTint="A5"/>
      <w:spacing w:val="15"/>
    </w:rPr>
  </w:style>
  <w:style w:type="paragraph" w:customStyle="1" w:styleId="Testo2">
    <w:name w:val="Testo 2"/>
    <w:rsid w:val="008C547C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8C547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922F4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2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22F48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2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12352C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35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2352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12C7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54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547C"/>
    <w:rPr>
      <w:rFonts w:eastAsiaTheme="minorEastAsia"/>
      <w:color w:val="5A5A5A" w:themeColor="text1" w:themeTint="A5"/>
      <w:spacing w:val="15"/>
    </w:rPr>
  </w:style>
  <w:style w:type="paragraph" w:customStyle="1" w:styleId="Testo2">
    <w:name w:val="Testo 2"/>
    <w:rsid w:val="008C547C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8C547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922F4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2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diritto-commerciale-9788892131057-67776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F914-6AD7-48AE-B054-1644839E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Valzer</dc:creator>
  <cp:keywords/>
  <dc:description/>
  <cp:lastModifiedBy>Rolli Andrea</cp:lastModifiedBy>
  <cp:revision>4</cp:revision>
  <dcterms:created xsi:type="dcterms:W3CDTF">2022-05-20T08:04:00Z</dcterms:created>
  <dcterms:modified xsi:type="dcterms:W3CDTF">2022-07-25T13:41:00Z</dcterms:modified>
</cp:coreProperties>
</file>