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8A32" w14:textId="77777777" w:rsidR="00E91BC0" w:rsidRDefault="00E91BC0" w:rsidP="00E91BC0">
      <w:pPr>
        <w:pStyle w:val="Titolo1"/>
        <w:rPr>
          <w:bCs/>
        </w:rPr>
      </w:pPr>
      <w:r w:rsidRPr="0041610B">
        <w:rPr>
          <w:bCs/>
        </w:rPr>
        <w:t>Economia politica (</w:t>
      </w:r>
      <w:r>
        <w:rPr>
          <w:bCs/>
        </w:rPr>
        <w:t>m</w:t>
      </w:r>
      <w:r w:rsidRPr="0041610B">
        <w:rPr>
          <w:bCs/>
        </w:rPr>
        <w:t>icroeconomia)</w:t>
      </w:r>
    </w:p>
    <w:p w14:paraId="775379DA" w14:textId="5EE7F049" w:rsidR="00E91BC0" w:rsidRPr="005B7F71" w:rsidRDefault="00E91BC0" w:rsidP="00E91BC0">
      <w:pPr>
        <w:pStyle w:val="Titolo2"/>
      </w:pPr>
      <w:bookmarkStart w:id="0" w:name="_Toc526064311"/>
      <w:bookmarkStart w:id="1" w:name="_Toc526324563"/>
      <w:bookmarkStart w:id="2" w:name="_Toc526324647"/>
      <w:bookmarkStart w:id="3" w:name="_Toc526843354"/>
      <w:r w:rsidRPr="00B276C2">
        <w:t>Gr. A-B:</w:t>
      </w:r>
      <w:r w:rsidR="00AB6A16" w:rsidRPr="00B276C2">
        <w:t xml:space="preserve"> </w:t>
      </w:r>
      <w:r w:rsidR="00D97080" w:rsidRPr="00B276C2">
        <w:t>Prof. Fabrizio Panebianco</w:t>
      </w:r>
      <w:r w:rsidRPr="00B276C2">
        <w:t xml:space="preserve">; Gr. </w:t>
      </w:r>
      <w:r w:rsidRPr="00006290">
        <w:rPr>
          <w:lang w:val="de-DE"/>
        </w:rPr>
        <w:t xml:space="preserve">C-De: </w:t>
      </w:r>
      <w:r w:rsidR="001F27D8">
        <w:rPr>
          <w:lang w:val="de-DE"/>
        </w:rPr>
        <w:t>Prof.</w:t>
      </w:r>
      <w:r>
        <w:rPr>
          <w:lang w:val="de-DE"/>
        </w:rPr>
        <w:t xml:space="preserve"> Giovanni Ursino</w:t>
      </w:r>
      <w:r w:rsidRPr="00006290">
        <w:rPr>
          <w:lang w:val="de-DE"/>
        </w:rPr>
        <w:t xml:space="preserve">; Gr. </w:t>
      </w:r>
      <w:r>
        <w:t>Di-La: P</w:t>
      </w:r>
      <w:r w:rsidR="001F27D8">
        <w:t>rof. Mario Roberto Gilli</w:t>
      </w:r>
      <w:r w:rsidRPr="00952C1B">
        <w:t xml:space="preserve">; Gr. Le-O: Prof. </w:t>
      </w:r>
      <w:r>
        <w:t>Ma</w:t>
      </w:r>
      <w:r w:rsidRPr="00952C1B">
        <w:t>ria Luisa M</w:t>
      </w:r>
      <w:r>
        <w:t>a</w:t>
      </w:r>
      <w:r w:rsidRPr="00952C1B">
        <w:t xml:space="preserve">ncusi; Gr. P-Sa: Prof. Piero Tedeschi; Gr. Sb-Z: </w:t>
      </w:r>
      <w:bookmarkEnd w:id="0"/>
      <w:bookmarkEnd w:id="1"/>
      <w:bookmarkEnd w:id="2"/>
      <w:bookmarkEnd w:id="3"/>
      <w:r w:rsidRPr="00952C1B">
        <w:t>Prof. Ferdinando Colombo</w:t>
      </w:r>
    </w:p>
    <w:p w14:paraId="58768A4B" w14:textId="77777777" w:rsidR="00E91BC0" w:rsidRDefault="00E91BC0" w:rsidP="00E91BC0">
      <w:pPr>
        <w:spacing w:before="240" w:after="120" w:line="240" w:lineRule="exact"/>
        <w:rPr>
          <w:b/>
          <w:sz w:val="18"/>
        </w:rPr>
      </w:pPr>
      <w:r>
        <w:rPr>
          <w:b/>
          <w:i/>
          <w:sz w:val="18"/>
        </w:rPr>
        <w:t>OBIETTIVO DEL CORSO E RISULTATI DI APPRENDIMENTO ATTESI</w:t>
      </w:r>
    </w:p>
    <w:p w14:paraId="56A440E0" w14:textId="77777777" w:rsidR="00E91BC0" w:rsidRDefault="00E91BC0" w:rsidP="00E91BC0">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7659C536" w14:textId="77777777" w:rsidR="00E91BC0" w:rsidRDefault="00E91BC0" w:rsidP="00E91BC0">
      <w:pPr>
        <w:spacing w:line="240" w:lineRule="exact"/>
      </w:pPr>
      <w:r>
        <w:t>Al termine dell’insegnamento lo studente:</w:t>
      </w:r>
    </w:p>
    <w:p w14:paraId="6CEFA1C6" w14:textId="77777777" w:rsidR="00E91BC0" w:rsidRDefault="00E91BC0" w:rsidP="00E91BC0">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01E1E31" w14:textId="77777777" w:rsidR="00E91BC0" w:rsidRDefault="00E91BC0" w:rsidP="00E91BC0">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E7921FA" w14:textId="77777777" w:rsidR="00E91BC0" w:rsidRDefault="00E91BC0" w:rsidP="00E91BC0">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68196E67" w14:textId="77777777" w:rsidR="00E91BC0" w:rsidRDefault="00E91BC0" w:rsidP="00E91BC0">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32AD458D" w14:textId="77777777" w:rsidR="00E91BC0" w:rsidRDefault="00E91BC0" w:rsidP="00E91BC0">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3C520DC9" w14:textId="77777777" w:rsidR="00E91BC0" w:rsidRDefault="00E91BC0" w:rsidP="00E91BC0">
      <w:pPr>
        <w:spacing w:before="240" w:after="120" w:line="240" w:lineRule="exact"/>
        <w:rPr>
          <w:b/>
          <w:sz w:val="18"/>
        </w:rPr>
      </w:pPr>
      <w:r>
        <w:rPr>
          <w:b/>
          <w:i/>
          <w:sz w:val="18"/>
        </w:rPr>
        <w:t>PROGRAMMA DEL CORSO</w:t>
      </w:r>
    </w:p>
    <w:p w14:paraId="32E7B083" w14:textId="77777777" w:rsidR="00E91BC0" w:rsidRPr="00F2579A" w:rsidRDefault="00E91BC0" w:rsidP="00E91BC0">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7D6B58EB" w14:textId="77777777" w:rsidR="00E91BC0" w:rsidRPr="00F2579A" w:rsidRDefault="00E91BC0" w:rsidP="00E91BC0">
      <w:pPr>
        <w:spacing w:before="120" w:line="240" w:lineRule="exact"/>
        <w:rPr>
          <w:smallCaps/>
          <w:sz w:val="18"/>
        </w:rPr>
      </w:pPr>
      <w:r w:rsidRPr="00F2579A">
        <w:rPr>
          <w:smallCaps/>
          <w:sz w:val="18"/>
        </w:rPr>
        <w:t>Parte I</w:t>
      </w:r>
    </w:p>
    <w:p w14:paraId="1A3F2C94" w14:textId="77777777" w:rsidR="00E91BC0" w:rsidRPr="00F2579A" w:rsidRDefault="00E91BC0" w:rsidP="00E91BC0">
      <w:pPr>
        <w:spacing w:line="240" w:lineRule="exact"/>
        <w:rPr>
          <w:i/>
        </w:rPr>
      </w:pPr>
      <w:r w:rsidRPr="00F2579A">
        <w:rPr>
          <w:i/>
        </w:rPr>
        <w:t>Introduzione</w:t>
      </w:r>
    </w:p>
    <w:p w14:paraId="049DF153" w14:textId="77777777" w:rsidR="00E91BC0" w:rsidRPr="00F2579A" w:rsidRDefault="00E91BC0" w:rsidP="00E91BC0">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3A3FC289" w14:textId="77777777" w:rsidR="00E91BC0" w:rsidRPr="00F2579A" w:rsidRDefault="00E91BC0" w:rsidP="00E91BC0">
      <w:pPr>
        <w:spacing w:before="120" w:line="240" w:lineRule="exact"/>
        <w:rPr>
          <w:i/>
        </w:rPr>
      </w:pPr>
      <w:r w:rsidRPr="00F2579A">
        <w:rPr>
          <w:i/>
        </w:rPr>
        <w:lastRenderedPageBreak/>
        <w:t>La teoria del comportamento del consumatore</w:t>
      </w:r>
    </w:p>
    <w:p w14:paraId="3B16E340" w14:textId="77777777" w:rsidR="00E91BC0" w:rsidRPr="00F2579A" w:rsidRDefault="00E91BC0" w:rsidP="00E91BC0">
      <w:pPr>
        <w:spacing w:line="240" w:lineRule="exact"/>
      </w:pPr>
      <w:r w:rsidRPr="00F2579A">
        <w:t>–</w:t>
      </w:r>
      <w:r w:rsidRPr="00F2579A">
        <w:tab/>
        <w:t>Vincolo di bilancio, preferenze, utilità e scelte del consumatore.</w:t>
      </w:r>
    </w:p>
    <w:p w14:paraId="7818F426" w14:textId="77777777" w:rsidR="00E91BC0" w:rsidRPr="00F2579A" w:rsidRDefault="00E91BC0" w:rsidP="00E91BC0">
      <w:pPr>
        <w:spacing w:line="240" w:lineRule="exact"/>
      </w:pPr>
      <w:r w:rsidRPr="00F2579A">
        <w:t>–</w:t>
      </w:r>
      <w:r w:rsidRPr="00F2579A">
        <w:tab/>
        <w:t>Domanda di mercato, elasticità, equilibrio di mercato, effetti delle imposte.</w:t>
      </w:r>
    </w:p>
    <w:p w14:paraId="705B5734" w14:textId="77777777" w:rsidR="00E91BC0" w:rsidRPr="00F2579A" w:rsidRDefault="00E91BC0" w:rsidP="00E91BC0">
      <w:pPr>
        <w:spacing w:before="120" w:line="240" w:lineRule="exact"/>
        <w:rPr>
          <w:i/>
        </w:rPr>
      </w:pPr>
      <w:r w:rsidRPr="00F2579A">
        <w:rPr>
          <w:i/>
        </w:rPr>
        <w:t>La teoria dell’impresa e della produzione</w:t>
      </w:r>
    </w:p>
    <w:p w14:paraId="7B2D5A67" w14:textId="77777777" w:rsidR="00E91BC0" w:rsidRPr="00F2579A" w:rsidRDefault="00E91BC0" w:rsidP="00E91BC0">
      <w:pPr>
        <w:spacing w:line="240" w:lineRule="exact"/>
        <w:rPr>
          <w:b/>
        </w:rPr>
      </w:pPr>
      <w:r w:rsidRPr="00F2579A">
        <w:t>–</w:t>
      </w:r>
      <w:r w:rsidRPr="00F2579A">
        <w:tab/>
        <w:t>Vincoli tecnologici, combinazione ottima dei fattori.</w:t>
      </w:r>
    </w:p>
    <w:p w14:paraId="15F20CA5" w14:textId="77777777" w:rsidR="00E91BC0" w:rsidRPr="00F2579A" w:rsidRDefault="00E91BC0" w:rsidP="00E91BC0">
      <w:pPr>
        <w:spacing w:line="240" w:lineRule="exact"/>
        <w:rPr>
          <w:b/>
        </w:rPr>
      </w:pPr>
      <w:r w:rsidRPr="00F2579A">
        <w:t>–</w:t>
      </w:r>
      <w:r w:rsidRPr="00F2579A">
        <w:tab/>
        <w:t>Funzioni di costo di breve e di lungo periodo.</w:t>
      </w:r>
    </w:p>
    <w:p w14:paraId="01DBC6B9" w14:textId="77777777" w:rsidR="00E91BC0" w:rsidRPr="00F2579A" w:rsidRDefault="00E91BC0" w:rsidP="00E91BC0">
      <w:pPr>
        <w:spacing w:before="120" w:line="240" w:lineRule="exact"/>
        <w:rPr>
          <w:smallCaps/>
          <w:sz w:val="18"/>
        </w:rPr>
      </w:pPr>
      <w:r w:rsidRPr="00F2579A">
        <w:rPr>
          <w:smallCaps/>
          <w:sz w:val="18"/>
        </w:rPr>
        <w:tab/>
        <w:t>Parte II</w:t>
      </w:r>
    </w:p>
    <w:p w14:paraId="67636432" w14:textId="77777777" w:rsidR="00E91BC0" w:rsidRPr="00F2579A" w:rsidRDefault="00E91BC0" w:rsidP="00E91BC0">
      <w:pPr>
        <w:spacing w:line="240" w:lineRule="exact"/>
        <w:rPr>
          <w:i/>
        </w:rPr>
      </w:pPr>
      <w:r w:rsidRPr="00F2579A">
        <w:rPr>
          <w:i/>
        </w:rPr>
        <w:t>Equilibrio di mercato in regime di concorrenza perfetta</w:t>
      </w:r>
    </w:p>
    <w:p w14:paraId="6B07CCD2" w14:textId="77777777" w:rsidR="00E91BC0" w:rsidRPr="00F2579A" w:rsidRDefault="00E91BC0" w:rsidP="00E91BC0">
      <w:pPr>
        <w:spacing w:line="240" w:lineRule="exact"/>
        <w:ind w:left="284" w:hanging="284"/>
      </w:pPr>
      <w:r w:rsidRPr="00F2579A">
        <w:t>–</w:t>
      </w:r>
      <w:r w:rsidRPr="00F2579A">
        <w:tab/>
        <w:t>Offerta di un’impresa concorrenziale, offerta dell’industria, equilibrio nel breve e nel lungo periodo.</w:t>
      </w:r>
    </w:p>
    <w:p w14:paraId="25499265" w14:textId="77777777" w:rsidR="00E91BC0" w:rsidRPr="00F2579A" w:rsidRDefault="00E91BC0" w:rsidP="00E91BC0">
      <w:pPr>
        <w:spacing w:before="120" w:line="240" w:lineRule="exact"/>
        <w:rPr>
          <w:i/>
        </w:rPr>
      </w:pPr>
      <w:r w:rsidRPr="00F2579A">
        <w:rPr>
          <w:i/>
        </w:rPr>
        <w:t>Potere di mercato e concorrenza imperfetta</w:t>
      </w:r>
    </w:p>
    <w:p w14:paraId="1281FB25" w14:textId="77777777" w:rsidR="00E91BC0" w:rsidRPr="00F2579A" w:rsidRDefault="00E91BC0" w:rsidP="00E91BC0">
      <w:pPr>
        <w:spacing w:line="240" w:lineRule="exact"/>
      </w:pPr>
      <w:r w:rsidRPr="00F2579A">
        <w:t>–</w:t>
      </w:r>
      <w:r w:rsidRPr="00F2579A">
        <w:tab/>
        <w:t>Monopolio.</w:t>
      </w:r>
    </w:p>
    <w:p w14:paraId="1F8C74BD" w14:textId="77777777" w:rsidR="00E91BC0" w:rsidRPr="00F2579A" w:rsidRDefault="00E91BC0" w:rsidP="00E91BC0">
      <w:pPr>
        <w:spacing w:line="240" w:lineRule="exact"/>
      </w:pPr>
      <w:r w:rsidRPr="00F2579A">
        <w:t>–</w:t>
      </w:r>
      <w:r w:rsidRPr="00F2579A">
        <w:tab/>
        <w:t>Oligopolio.</w:t>
      </w:r>
    </w:p>
    <w:p w14:paraId="6A673646" w14:textId="77777777" w:rsidR="00E91BC0" w:rsidRPr="00F2579A" w:rsidRDefault="00E91BC0" w:rsidP="00E91BC0">
      <w:pPr>
        <w:spacing w:before="120" w:line="240" w:lineRule="exact"/>
        <w:rPr>
          <w:i/>
        </w:rPr>
      </w:pPr>
      <w:r w:rsidRPr="00F2579A">
        <w:rPr>
          <w:i/>
        </w:rPr>
        <w:t>Teoria dei giochi</w:t>
      </w:r>
    </w:p>
    <w:p w14:paraId="1499FD70" w14:textId="77777777" w:rsidR="00E91BC0" w:rsidRPr="00F2579A" w:rsidRDefault="00E91BC0" w:rsidP="00E91BC0">
      <w:pPr>
        <w:spacing w:line="240" w:lineRule="exact"/>
      </w:pPr>
      <w:r w:rsidRPr="00F2579A">
        <w:t>–</w:t>
      </w:r>
      <w:r w:rsidRPr="00F2579A">
        <w:tab/>
        <w:t>Strategie ed equilibrio.</w:t>
      </w:r>
    </w:p>
    <w:p w14:paraId="729C7BA4" w14:textId="77777777" w:rsidR="00E91BC0" w:rsidRPr="00F2579A" w:rsidRDefault="00E91BC0" w:rsidP="00E91BC0">
      <w:pPr>
        <w:spacing w:before="120" w:line="240" w:lineRule="exact"/>
        <w:rPr>
          <w:i/>
        </w:rPr>
      </w:pPr>
      <w:r w:rsidRPr="00F2579A">
        <w:rPr>
          <w:i/>
        </w:rPr>
        <w:t>Scambio e mercato</w:t>
      </w:r>
    </w:p>
    <w:p w14:paraId="78402721" w14:textId="77777777" w:rsidR="00E91BC0" w:rsidRPr="00F2579A" w:rsidRDefault="00E91BC0" w:rsidP="00E91BC0">
      <w:pPr>
        <w:spacing w:line="240" w:lineRule="exact"/>
      </w:pPr>
      <w:r w:rsidRPr="00F2579A">
        <w:t>–</w:t>
      </w:r>
      <w:r w:rsidRPr="00F2579A">
        <w:tab/>
        <w:t>Equilibrio economico generale, efficienza economica, teoremi del benessere.</w:t>
      </w:r>
    </w:p>
    <w:p w14:paraId="502A1433" w14:textId="77777777" w:rsidR="00E91BC0" w:rsidRPr="00F2579A" w:rsidRDefault="00E91BC0" w:rsidP="00E91BC0">
      <w:pPr>
        <w:spacing w:before="120" w:line="240" w:lineRule="exact"/>
        <w:rPr>
          <w:i/>
        </w:rPr>
      </w:pPr>
      <w:r w:rsidRPr="00F2579A">
        <w:rPr>
          <w:i/>
        </w:rPr>
        <w:t>Beni pubblici ed esternalità</w:t>
      </w:r>
    </w:p>
    <w:p w14:paraId="7955C210" w14:textId="77777777" w:rsidR="00E91BC0" w:rsidRPr="00F2579A" w:rsidRDefault="00E91BC0" w:rsidP="00E91BC0">
      <w:pPr>
        <w:spacing w:line="240" w:lineRule="exact"/>
      </w:pPr>
      <w:r w:rsidRPr="00F2579A">
        <w:t>–</w:t>
      </w:r>
      <w:r w:rsidRPr="00F2579A">
        <w:tab/>
        <w:t>Inefficienza dell’equilibrio concorrenziale. Possibili rimedi.</w:t>
      </w:r>
    </w:p>
    <w:p w14:paraId="6A02E256" w14:textId="0B56FDE2" w:rsidR="00E91BC0" w:rsidRPr="00E830E1" w:rsidRDefault="00E91BC0" w:rsidP="00E91BC0">
      <w:pPr>
        <w:spacing w:before="240" w:after="120"/>
        <w:rPr>
          <w:b/>
          <w:i/>
          <w:sz w:val="18"/>
        </w:rPr>
      </w:pPr>
      <w:r>
        <w:rPr>
          <w:b/>
          <w:i/>
          <w:sz w:val="18"/>
        </w:rPr>
        <w:t>BIBLIOGRAFIA</w:t>
      </w:r>
      <w:r w:rsidR="008F2DE1">
        <w:rPr>
          <w:rStyle w:val="Rimandonotaapidipagina"/>
          <w:b/>
          <w:i/>
          <w:sz w:val="18"/>
        </w:rPr>
        <w:footnoteReference w:id="1"/>
      </w:r>
    </w:p>
    <w:p w14:paraId="0BB1E745" w14:textId="5057C10B" w:rsidR="00E91BC0" w:rsidRPr="004369D9" w:rsidRDefault="00E91BC0" w:rsidP="00E91BC0">
      <w:pPr>
        <w:pStyle w:val="Testo2"/>
        <w:spacing w:line="240" w:lineRule="atLeast"/>
        <w:ind w:left="284" w:hanging="284"/>
        <w:rPr>
          <w:spacing w:val="-5"/>
        </w:rPr>
      </w:pPr>
      <w:r w:rsidRPr="008F2DE1">
        <w:rPr>
          <w:smallCaps/>
          <w:spacing w:val="-5"/>
          <w:sz w:val="16"/>
          <w:lang w:val="en-US"/>
        </w:rPr>
        <w:t>Bernheim-Whinston,</w:t>
      </w:r>
      <w:r w:rsidRPr="008F2DE1">
        <w:rPr>
          <w:i/>
          <w:spacing w:val="-5"/>
          <w:lang w:val="en-US"/>
        </w:rPr>
        <w:t xml:space="preserve"> Microeconomia,</w:t>
      </w:r>
      <w:r w:rsidRPr="008F2DE1">
        <w:rPr>
          <w:spacing w:val="-5"/>
          <w:lang w:val="en-US"/>
        </w:rPr>
        <w:t xml:space="preserve"> McGraw-Hill, Milano.</w:t>
      </w:r>
      <w:r w:rsidR="008F2DE1" w:rsidRPr="008F2DE1">
        <w:rPr>
          <w:spacing w:val="-5"/>
          <w:lang w:val="en-US"/>
        </w:rPr>
        <w:t xml:space="preserve"> </w:t>
      </w:r>
      <w:hyperlink r:id="rId12" w:history="1">
        <w:r w:rsidR="008F2DE1" w:rsidRPr="008F2DE1">
          <w:rPr>
            <w:rStyle w:val="Collegamentoipertestuale"/>
            <w:rFonts w:ascii="Times New Roman" w:hAnsi="Times New Roman"/>
            <w:i/>
            <w:sz w:val="16"/>
            <w:szCs w:val="16"/>
          </w:rPr>
          <w:t>Acquista da VP</w:t>
        </w:r>
      </w:hyperlink>
      <w:bookmarkStart w:id="4" w:name="_GoBack"/>
      <w:bookmarkEnd w:id="4"/>
      <w:r w:rsidR="004369D9" w:rsidRPr="004369D9">
        <w:rPr>
          <w:spacing w:val="-5"/>
        </w:rPr>
        <w:t xml:space="preserve"> </w:t>
      </w:r>
    </w:p>
    <w:p w14:paraId="4301F65E" w14:textId="77777777" w:rsidR="00E91BC0" w:rsidRPr="00796DFB" w:rsidRDefault="00E91BC0" w:rsidP="00E91BC0">
      <w:pPr>
        <w:pStyle w:val="Testo2"/>
        <w:ind w:firstLine="0"/>
      </w:pPr>
      <w:r w:rsidRPr="00796DFB">
        <w:t>Eserciziari Consigliati.</w:t>
      </w:r>
    </w:p>
    <w:p w14:paraId="3D5545BF" w14:textId="7B4A6A6C" w:rsidR="00E91BC0" w:rsidRPr="00796DFB" w:rsidRDefault="00E91BC0" w:rsidP="00E91BC0">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4D6DC2">
        <w:t xml:space="preserve"> </w:t>
      </w:r>
      <w:r w:rsidR="008F2DE1">
        <w:t xml:space="preserve"> </w:t>
      </w:r>
      <w:hyperlink r:id="rId13" w:history="1">
        <w:r w:rsidR="008F2DE1" w:rsidRPr="008F2DE1">
          <w:rPr>
            <w:rStyle w:val="Collegamentoipertestuale"/>
            <w:rFonts w:ascii="Times New Roman" w:hAnsi="Times New Roman"/>
            <w:i/>
            <w:sz w:val="16"/>
            <w:szCs w:val="16"/>
          </w:rPr>
          <w:t>Acquista da VP</w:t>
        </w:r>
      </w:hyperlink>
    </w:p>
    <w:p w14:paraId="0B6182D0" w14:textId="5393C8CE" w:rsidR="00E91BC0" w:rsidRPr="00796DFB" w:rsidRDefault="00E91BC0" w:rsidP="00E91BC0">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BF069D">
        <w:t xml:space="preserve"> </w:t>
      </w:r>
      <w:r w:rsidR="008F2DE1">
        <w:t xml:space="preserve"> </w:t>
      </w:r>
      <w:hyperlink r:id="rId14" w:history="1">
        <w:r w:rsidR="008F2DE1" w:rsidRPr="008F2DE1">
          <w:rPr>
            <w:rStyle w:val="Collegamentoipertestuale"/>
            <w:rFonts w:ascii="Times New Roman" w:hAnsi="Times New Roman"/>
            <w:i/>
            <w:sz w:val="16"/>
            <w:szCs w:val="16"/>
          </w:rPr>
          <w:t>Acquista da VP</w:t>
        </w:r>
      </w:hyperlink>
    </w:p>
    <w:p w14:paraId="36E4118C" w14:textId="4AC2230D" w:rsidR="00E91BC0" w:rsidRPr="00796DFB" w:rsidRDefault="00E91BC0" w:rsidP="00E91BC0">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t>.</w:t>
      </w:r>
      <w:r w:rsidR="00BF069D">
        <w:t xml:space="preserve"> </w:t>
      </w:r>
      <w:r w:rsidR="008F2DE1">
        <w:t xml:space="preserve"> </w:t>
      </w:r>
      <w:hyperlink r:id="rId15" w:history="1">
        <w:r w:rsidR="008F2DE1" w:rsidRPr="008F2DE1">
          <w:rPr>
            <w:rStyle w:val="Collegamentoipertestuale"/>
            <w:rFonts w:ascii="Times New Roman" w:hAnsi="Times New Roman"/>
            <w:i/>
            <w:sz w:val="16"/>
            <w:szCs w:val="16"/>
          </w:rPr>
          <w:t>Acquista da VP</w:t>
        </w:r>
      </w:hyperlink>
      <w:r w:rsidR="008F2DE1">
        <w:rPr>
          <w:rFonts w:ascii="Times New Roman" w:hAnsi="Times New Roman"/>
          <w:i/>
          <w:color w:val="0070C0"/>
          <w:sz w:val="16"/>
          <w:szCs w:val="16"/>
        </w:rPr>
        <w:t xml:space="preserve"> </w:t>
      </w:r>
    </w:p>
    <w:p w14:paraId="6681F33C" w14:textId="5F6B73A4" w:rsidR="00E91BC0" w:rsidRPr="00796DFB" w:rsidRDefault="00E91BC0" w:rsidP="00E91BC0">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Pr>
          <w:spacing w:val="-5"/>
        </w:rPr>
        <w:t xml:space="preserve"> Egea, 2003.</w:t>
      </w:r>
      <w:r w:rsidR="00BF069D">
        <w:rPr>
          <w:spacing w:val="-5"/>
        </w:rPr>
        <w:t xml:space="preserve"> </w:t>
      </w:r>
      <w:r w:rsidR="008F2DE1">
        <w:rPr>
          <w:spacing w:val="-5"/>
        </w:rPr>
        <w:t xml:space="preserve"> </w:t>
      </w:r>
      <w:hyperlink r:id="rId16" w:history="1">
        <w:r w:rsidR="008F2DE1" w:rsidRPr="008F2DE1">
          <w:rPr>
            <w:rStyle w:val="Collegamentoipertestuale"/>
            <w:rFonts w:ascii="Times New Roman" w:hAnsi="Times New Roman"/>
            <w:i/>
            <w:sz w:val="16"/>
            <w:szCs w:val="16"/>
          </w:rPr>
          <w:t>Acquista da VP</w:t>
        </w:r>
      </w:hyperlink>
    </w:p>
    <w:p w14:paraId="225D3AA9" w14:textId="77777777" w:rsidR="00E91BC0" w:rsidRDefault="00E91BC0" w:rsidP="00E91BC0">
      <w:pPr>
        <w:spacing w:before="240" w:after="120"/>
        <w:rPr>
          <w:b/>
          <w:i/>
          <w:sz w:val="18"/>
        </w:rPr>
      </w:pPr>
      <w:r>
        <w:rPr>
          <w:b/>
          <w:i/>
          <w:sz w:val="18"/>
        </w:rPr>
        <w:t>DIDATTICA DEL CORSO</w:t>
      </w:r>
    </w:p>
    <w:p w14:paraId="6DA03484" w14:textId="77777777" w:rsidR="00E91BC0" w:rsidRPr="00796DFB" w:rsidRDefault="00E91BC0" w:rsidP="00E91BC0">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360BA4F7" w14:textId="77777777" w:rsidR="00E91BC0" w:rsidRDefault="00E91BC0" w:rsidP="00E91BC0">
      <w:pPr>
        <w:spacing w:before="240" w:after="120"/>
        <w:rPr>
          <w:b/>
          <w:i/>
          <w:sz w:val="18"/>
        </w:rPr>
      </w:pPr>
      <w:r>
        <w:rPr>
          <w:b/>
          <w:i/>
          <w:sz w:val="18"/>
        </w:rPr>
        <w:lastRenderedPageBreak/>
        <w:t>METODO E CRITERI DI VALUTAZIONE</w:t>
      </w:r>
    </w:p>
    <w:p w14:paraId="77C458B1" w14:textId="456E43C6" w:rsidR="00E91BC0" w:rsidRPr="00796DFB" w:rsidRDefault="00E91BC0" w:rsidP="00E91BC0">
      <w:pPr>
        <w:pStyle w:val="Testo2"/>
      </w:pPr>
      <w:r w:rsidRPr="00796DFB">
        <w:t>La valuta</w:t>
      </w:r>
      <w:r>
        <w:t>zione si basa su prove scritte</w:t>
      </w:r>
      <w:r w:rsidR="00AB6A16">
        <w:t xml:space="preserve">, </w:t>
      </w:r>
      <w:r w:rsidR="00AB6A16" w:rsidRPr="00AB6A16">
        <w:t>che potranno essere erogate anche in forma di test</w:t>
      </w:r>
      <w:r>
        <w:t>.</w:t>
      </w:r>
      <w:r w:rsidRPr="00796DFB">
        <w:t xml:space="preserve"> L'esame può essere svolto tramite due prove parziali (una prova intermedia ed una prova di completamento) oppure tramite una prova generale. Nel caso in cui l’esame sia sostenuto in due prove parziali, </w:t>
      </w:r>
      <w:r w:rsidR="00B276C2">
        <w:t xml:space="preserve">gli studenti potranno svolgere la prova di </w:t>
      </w:r>
      <w:r w:rsidRPr="00796DFB">
        <w:t xml:space="preserve">completamento </w:t>
      </w:r>
      <w:r w:rsidR="00B276C2">
        <w:t>in uno tra i</w:t>
      </w:r>
      <w:r w:rsidRPr="00796DFB">
        <w:t xml:space="preserve"> prim</w:t>
      </w:r>
      <w:r w:rsidR="00B276C2">
        <w:t>i</w:t>
      </w:r>
      <w:r w:rsidRPr="00796DFB">
        <w:t xml:space="preserve"> </w:t>
      </w:r>
      <w:r w:rsidR="00B276C2">
        <w:t xml:space="preserve">due </w:t>
      </w:r>
      <w:r w:rsidRPr="00796DFB">
        <w:t>appell</w:t>
      </w:r>
      <w:r w:rsidR="00B276C2">
        <w:t>i</w:t>
      </w:r>
      <w:r w:rsidRPr="00796DFB">
        <w:t xml:space="preserve"> della sessione estiva e l’esame viene considerato superato solo se in entrambe le prove lo studente ottiene un voto non inferiore a 18. Il voto finale è dato dalla media aritmetica dei voti ottenuti nelle due prove.</w:t>
      </w:r>
    </w:p>
    <w:p w14:paraId="428B6AA6" w14:textId="77777777" w:rsidR="00E91BC0" w:rsidRPr="00796DFB" w:rsidRDefault="00E91BC0" w:rsidP="00E91BC0">
      <w:pPr>
        <w:pStyle w:val="Testo2"/>
      </w:pPr>
      <w:r w:rsidRPr="00796DFB">
        <w:t>Due sono i criteri valutativi adotatti:</w:t>
      </w:r>
    </w:p>
    <w:p w14:paraId="79872EF4" w14:textId="77777777" w:rsidR="00E91BC0" w:rsidRPr="00796DFB" w:rsidRDefault="00E91BC0" w:rsidP="00E91BC0">
      <w:pPr>
        <w:pStyle w:val="Testo2"/>
      </w:pPr>
      <w:r w:rsidRPr="00796DFB">
        <w:t>Una valutazione circa le conoscenze teoriche acquisite dallo studente, la loro comprensione e la capacità di derivarne le principali implicazioni;</w:t>
      </w:r>
    </w:p>
    <w:p w14:paraId="52213FE0" w14:textId="77777777" w:rsidR="00E91BC0" w:rsidRPr="00796DFB" w:rsidRDefault="00E91BC0" w:rsidP="00E91BC0">
      <w:pPr>
        <w:pStyle w:val="Testo2"/>
      </w:pPr>
      <w:r w:rsidRPr="00796DFB">
        <w:t xml:space="preserve">Una valutazione circa la capacità dello studente di tradurre tali conoscenze teoriche in maniera applicata, operazionalizzandole per risolvere autonamente esercizi economici. </w:t>
      </w:r>
    </w:p>
    <w:p w14:paraId="609C4A51" w14:textId="275E5D2F" w:rsidR="00E91BC0" w:rsidRPr="00796DFB" w:rsidRDefault="00E91BC0" w:rsidP="00E91BC0">
      <w:pPr>
        <w:pStyle w:val="Testo2"/>
      </w:pPr>
      <w:r w:rsidRPr="00796DFB">
        <w:t xml:space="preserve">La combinazione di tali criteri valutativi si riflette nella struttura della prova d’esame (sia intermedia che totale). Tutte le prove sono infatti composte da </w:t>
      </w:r>
      <w:r w:rsidR="00AB6A16">
        <w:t>domande di due tipi</w:t>
      </w:r>
      <w:r w:rsidRPr="00796DFB">
        <w:t xml:space="preserve">. </w:t>
      </w:r>
      <w:r w:rsidR="00AB6A16">
        <w:t>Il primo tipo di</w:t>
      </w:r>
      <w:r w:rsidRPr="00796DFB">
        <w:t xml:space="preserve"> domande richied</w:t>
      </w:r>
      <w:r w:rsidR="00B276C2">
        <w:t>e</w:t>
      </w:r>
      <w:r w:rsidRPr="00796DFB">
        <w:t xml:space="preserve"> risposte brevi e mira</w:t>
      </w:r>
      <w:r w:rsidR="00AB6A16">
        <w:t>no</w:t>
      </w:r>
      <w:r w:rsidRPr="00796DFB">
        <w:t xml:space="preserve"> a valutare il grado di comprensione della parte teorica del corso. </w:t>
      </w:r>
      <w:r w:rsidR="00AB6A16">
        <w:t>Il secondo tipo di domande richied</w:t>
      </w:r>
      <w:r w:rsidR="00B276C2">
        <w:t>e</w:t>
      </w:r>
      <w:r w:rsidRPr="00796DFB">
        <w:t xml:space="preserve"> invece </w:t>
      </w:r>
      <w:r w:rsidR="00AB6A16">
        <w:t>lo svolgimento di</w:t>
      </w:r>
      <w:r w:rsidR="00AB6A16" w:rsidRPr="00796DFB">
        <w:t xml:space="preserve"> </w:t>
      </w:r>
      <w:r w:rsidRPr="00796DFB">
        <w:t xml:space="preserve">esercizi </w:t>
      </w:r>
      <w:r w:rsidR="00AB6A16" w:rsidRPr="00796DFB">
        <w:t>numeric</w:t>
      </w:r>
      <w:r w:rsidR="00AB6A16">
        <w:t>o/analitici</w:t>
      </w:r>
      <w:r w:rsidRPr="00796DFB">
        <w:t xml:space="preserve">, per risolvere i quali gli studenti dovranno dimostrare di essere in grado di risolvere matematicamente alcuni problemi e di interpretarne economicamente i risultati. Non supera la prova chi non ha ottenuto una valutazione sufficiente </w:t>
      </w:r>
      <w:r w:rsidR="00AB6A16">
        <w:t>nelle domande del primo tipo</w:t>
      </w:r>
      <w:r w:rsidRPr="00796DFB">
        <w:t xml:space="preserve">. </w:t>
      </w:r>
    </w:p>
    <w:p w14:paraId="66DBEC60" w14:textId="77777777" w:rsidR="00E91BC0" w:rsidRDefault="00E91BC0" w:rsidP="00E91BC0">
      <w:pPr>
        <w:spacing w:before="240" w:after="120" w:line="240" w:lineRule="exact"/>
        <w:rPr>
          <w:b/>
          <w:i/>
          <w:sz w:val="18"/>
        </w:rPr>
      </w:pPr>
      <w:r>
        <w:rPr>
          <w:b/>
          <w:i/>
          <w:sz w:val="18"/>
        </w:rPr>
        <w:t>AVVERTENZE E PREREQUISITI</w:t>
      </w:r>
    </w:p>
    <w:p w14:paraId="1E080EBF" w14:textId="77777777" w:rsidR="00E91BC0" w:rsidRPr="00796DFB" w:rsidRDefault="00E91BC0" w:rsidP="00E91BC0">
      <w:pPr>
        <w:pStyle w:val="Testo2"/>
      </w:pPr>
      <w:r w:rsidRPr="00796DFB">
        <w:t>Gli studenti sono invitati a visitare la pagina personale dei docenti per ottenere informazioni ulteriori e più aggiornate oltre ad eventuale materiale didattico di supporto.</w:t>
      </w:r>
    </w:p>
    <w:p w14:paraId="362A7022" w14:textId="1EAA6599" w:rsidR="00E91BC0" w:rsidRPr="00796DFB" w:rsidRDefault="00E91BC0" w:rsidP="00E91BC0">
      <w:pPr>
        <w:pStyle w:val="Testo2"/>
      </w:pPr>
      <w:r w:rsidRPr="00796DFB">
        <w:t>Il corso è collocato al II semestre del I anno; si avvale dei metodi matematici esposti nel corso di Matematica generale offerto al I semestre e ne presuppone la conoscenza. Potranno sostenere l’esame solamente gli studenti che abbiano superato il pre-test di Matematica e/o l’esame di Matematica generale.</w:t>
      </w:r>
    </w:p>
    <w:p w14:paraId="151C8B6A" w14:textId="77777777" w:rsidR="00E91BC0" w:rsidRDefault="00E91BC0" w:rsidP="00E91BC0">
      <w:pPr>
        <w:pStyle w:val="Testo2"/>
      </w:pPr>
      <w:r w:rsidRPr="00796DFB">
        <w:t>L’accesso alla prova intermedia può essere subordinato alla verifica del possesso di prerequisiti enunciati dai docenti e secondo le modalità indicate nelle pagine personali dei docenti.</w:t>
      </w:r>
    </w:p>
    <w:p w14:paraId="10FF5397" w14:textId="63DC6538" w:rsidR="004B3735" w:rsidRDefault="00E91BC0" w:rsidP="0015136E">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Pr="00796DFB">
        <w:t xml:space="preserve"> </w:t>
      </w:r>
    </w:p>
    <w:sectPr w:rsidR="004B3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3471" w14:textId="77777777" w:rsidR="00CF510E" w:rsidRDefault="00CF510E" w:rsidP="00BF069D">
      <w:pPr>
        <w:spacing w:line="240" w:lineRule="auto"/>
      </w:pPr>
      <w:r>
        <w:separator/>
      </w:r>
    </w:p>
  </w:endnote>
  <w:endnote w:type="continuationSeparator" w:id="0">
    <w:p w14:paraId="7F656F04" w14:textId="77777777" w:rsidR="00CF510E" w:rsidRDefault="00CF510E" w:rsidP="00B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F49D" w14:textId="77777777" w:rsidR="00CF510E" w:rsidRDefault="00CF510E" w:rsidP="00BF069D">
      <w:pPr>
        <w:spacing w:line="240" w:lineRule="auto"/>
      </w:pPr>
      <w:r>
        <w:separator/>
      </w:r>
    </w:p>
  </w:footnote>
  <w:footnote w:type="continuationSeparator" w:id="0">
    <w:p w14:paraId="6FAED823" w14:textId="77777777" w:rsidR="00CF510E" w:rsidRDefault="00CF510E" w:rsidP="00BF069D">
      <w:pPr>
        <w:spacing w:line="240" w:lineRule="auto"/>
      </w:pPr>
      <w:r>
        <w:continuationSeparator/>
      </w:r>
    </w:p>
  </w:footnote>
  <w:footnote w:id="1">
    <w:p w14:paraId="23567BDA" w14:textId="326E3ACD" w:rsidR="008F2DE1" w:rsidRDefault="008F2DE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M0NLcwNrA0tjQ1MjdT0lEKTi0uzszPAykwqgUAQYu9MCwAAAA="/>
  </w:docVars>
  <w:rsids>
    <w:rsidRoot w:val="00E91BC0"/>
    <w:rsid w:val="000450CF"/>
    <w:rsid w:val="0015136E"/>
    <w:rsid w:val="001F27D8"/>
    <w:rsid w:val="00261B9A"/>
    <w:rsid w:val="004369D9"/>
    <w:rsid w:val="004B3735"/>
    <w:rsid w:val="004D6DC2"/>
    <w:rsid w:val="006D6E4F"/>
    <w:rsid w:val="007A25BB"/>
    <w:rsid w:val="007F3C7C"/>
    <w:rsid w:val="00872B6C"/>
    <w:rsid w:val="008F2DE1"/>
    <w:rsid w:val="00900419"/>
    <w:rsid w:val="00AB6A16"/>
    <w:rsid w:val="00B276C2"/>
    <w:rsid w:val="00BF069D"/>
    <w:rsid w:val="00CF510E"/>
    <w:rsid w:val="00D127D1"/>
    <w:rsid w:val="00D97080"/>
    <w:rsid w:val="00E91BC0"/>
    <w:rsid w:val="00E977C0"/>
    <w:rsid w:val="00EE550A"/>
    <w:rsid w:val="00FA3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utori-vari/microeconomia-esercizi-9788875342067-69026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cerca.php?s=microeconomia%20bernhei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microeconomia-9788823820395-23524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mario-gilli/esercizi-svolti-di-microeconomia-ediz-mylab-9788891907240-528710.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colombo-ferdinando/scelta-razionale-mercati-e-stato-9788834815205-17381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7" ma:contentTypeDescription="Creare un nuovo documento." ma:contentTypeScope="" ma:versionID="36e372a0d4e7bd9b4c6d63f665f30192">
  <xsd:schema xmlns:xsd="http://www.w3.org/2001/XMLSchema" xmlns:xs="http://www.w3.org/2001/XMLSchema" xmlns:p="http://schemas.microsoft.com/office/2006/metadata/properties" xmlns:ns2="18bd4c23-93ee-45f4-a4fb-4304c3b0b44c" targetNamespace="http://schemas.microsoft.com/office/2006/metadata/properties" ma:root="true" ma:fieldsID="d18ac57f36d04409fca25c4012d28ab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7314-5B3A-4DAC-9662-65C98348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CD547-969B-4592-ADA2-E0C8A73A861A}">
  <ds:schemaRefs>
    <ds:schemaRef ds:uri="http://schemas.microsoft.com/sharepoint/v3/contenttype/forms"/>
  </ds:schemaRefs>
</ds:datastoreItem>
</file>

<file path=customXml/itemProps3.xml><?xml version="1.0" encoding="utf-8"?>
<ds:datastoreItem xmlns:ds="http://schemas.openxmlformats.org/officeDocument/2006/customXml" ds:itemID="{1BF56E7F-953F-4BF9-B00C-A3A409A5F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B31F4-C2D5-4DDD-AD09-AC753374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4</cp:revision>
  <dcterms:created xsi:type="dcterms:W3CDTF">2022-05-24T09:40:00Z</dcterms:created>
  <dcterms:modified xsi:type="dcterms:W3CDTF">2022-07-25T12:16:00Z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