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3A7F4" w14:textId="77777777" w:rsidR="00273B31" w:rsidRPr="00273B31" w:rsidRDefault="00273B31" w:rsidP="00C214DF">
      <w:pPr>
        <w:pStyle w:val="Titolo1"/>
        <w:ind w:left="0" w:firstLine="0"/>
      </w:pPr>
      <w:r w:rsidRPr="00273B31">
        <w:t>Diritto del lavoro [per gli studenti della laurea triennale in Economia e gestione</w:t>
      </w:r>
      <w:r w:rsidR="007B00A2">
        <w:t xml:space="preserve"> </w:t>
      </w:r>
      <w:r w:rsidRPr="00273B31">
        <w:t xml:space="preserve">aziendale e in Economia delle imprese e dei mercati] </w:t>
      </w:r>
    </w:p>
    <w:p w14:paraId="3F5F164E" w14:textId="77777777" w:rsidR="00273B31" w:rsidRPr="00273B31" w:rsidRDefault="00273B31" w:rsidP="00273B31">
      <w:pPr>
        <w:pStyle w:val="Titolo2"/>
      </w:pPr>
      <w:r w:rsidRPr="00273B31">
        <w:t>Prof. Mirko Altimari</w:t>
      </w:r>
    </w:p>
    <w:p w14:paraId="3DE77FEF" w14:textId="77777777" w:rsidR="00273B31" w:rsidRDefault="00273B31" w:rsidP="00273B31">
      <w:pPr>
        <w:spacing w:before="240" w:after="120" w:line="240" w:lineRule="exact"/>
        <w:rPr>
          <w:b/>
          <w:sz w:val="18"/>
        </w:rPr>
      </w:pPr>
      <w:r>
        <w:rPr>
          <w:b/>
          <w:i/>
          <w:sz w:val="18"/>
        </w:rPr>
        <w:t>OBIETTIVO DEL CORSO E RISULTATI DI APPRENDIMENTO ATTESI</w:t>
      </w:r>
    </w:p>
    <w:p w14:paraId="7523C63E" w14:textId="77777777" w:rsidR="007B00A2" w:rsidRDefault="007B00A2" w:rsidP="00BF4718">
      <w:pPr>
        <w:spacing w:line="240" w:lineRule="exact"/>
      </w:pPr>
      <w:r w:rsidRPr="003279FF">
        <w:t>L'obiettivo prioritario del corso è quello di trasmettere gli strumenti e le tecniche</w:t>
      </w:r>
      <w:r>
        <w:t xml:space="preserve"> </w:t>
      </w:r>
      <w:r w:rsidRPr="00CD4197">
        <w:rPr>
          <w:szCs w:val="20"/>
        </w:rPr>
        <w:t>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7879313B" w14:textId="77777777" w:rsidR="007B00A2" w:rsidRDefault="007B00A2" w:rsidP="00BF4718">
      <w:pPr>
        <w:spacing w:line="240" w:lineRule="exact"/>
      </w:pPr>
      <w:r>
        <w:t>Al termine del corso lo studente:</w:t>
      </w:r>
    </w:p>
    <w:p w14:paraId="5C629640" w14:textId="77777777" w:rsidR="007B00A2" w:rsidRPr="003279FF" w:rsidRDefault="007B00A2" w:rsidP="00BF4718">
      <w:pPr>
        <w:shd w:val="clear" w:color="auto" w:fill="FFFFFF" w:themeFill="background1"/>
        <w:tabs>
          <w:tab w:val="clear" w:pos="284"/>
          <w:tab w:val="left" w:pos="708"/>
        </w:tabs>
        <w:autoSpaceDE w:val="0"/>
        <w:autoSpaceDN w:val="0"/>
        <w:adjustRightInd w:val="0"/>
        <w:spacing w:line="240" w:lineRule="exact"/>
      </w:pPr>
      <w:r w:rsidRPr="003279FF">
        <w:t xml:space="preserve">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 in particolare nella gestione del personale, incluse tematiche particolarmente sollecitate dall’attualità quali il lavoro nell’Industria 4.0 e nella Gig economy e le forme a distanza della prestazione di lavoro (smart working) (obiettivo </w:t>
      </w:r>
      <w:r w:rsidRPr="003279FF">
        <w:rPr>
          <w:smallCaps/>
        </w:rPr>
        <w:t>conoscenza e capacità di comprensione</w:t>
      </w:r>
      <w:r w:rsidRPr="003279FF">
        <w:t>).</w:t>
      </w:r>
    </w:p>
    <w:p w14:paraId="4D2AEBCB"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sidRPr="00771ADA">
        <w:rPr>
          <w:color w:val="000000" w:themeColor="text1"/>
        </w:rPr>
        <w:t xml:space="preserve">obiettivo </w:t>
      </w:r>
      <w:r w:rsidRPr="00771ADA">
        <w:rPr>
          <w:rFonts w:eastAsiaTheme="minorHAnsi"/>
          <w:smallCaps/>
          <w:color w:val="000000" w:themeColor="text1"/>
        </w:rPr>
        <w:t>conoscenza applicata e capacità di comprensione</w:t>
      </w:r>
      <w:r w:rsidRPr="00771ADA">
        <w:rPr>
          <w:rFonts w:eastAsiaTheme="minorHAnsi"/>
          <w:color w:val="000000" w:themeColor="text1"/>
        </w:rPr>
        <w:t>).</w:t>
      </w:r>
    </w:p>
    <w:p w14:paraId="02A49CB9"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lastRenderedPageBreak/>
        <w:t>3. saprà raccogliere e interpretare i dati in funzione di elaborare giudizi autonomi, grazie alla capacità di riflessione sui dati normativi di origine giuridica (fonti del 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sidRPr="00771ADA">
        <w:rPr>
          <w:color w:val="000000" w:themeColor="text1"/>
        </w:rPr>
        <w:t xml:space="preserve">obiettivo </w:t>
      </w:r>
      <w:r w:rsidRPr="00771ADA">
        <w:rPr>
          <w:rFonts w:eastAsiaTheme="minorHAnsi"/>
          <w:smallCaps/>
          <w:color w:val="000000" w:themeColor="text1"/>
        </w:rPr>
        <w:t>autonomia di giudizio).</w:t>
      </w:r>
    </w:p>
    <w:p w14:paraId="001D0DBF"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sidRPr="00771ADA">
        <w:rPr>
          <w:color w:val="000000" w:themeColor="text1"/>
        </w:rPr>
        <w:t xml:space="preserve">obiettivo </w:t>
      </w:r>
      <w:r w:rsidRPr="00771ADA">
        <w:rPr>
          <w:rFonts w:eastAsiaTheme="minorHAnsi"/>
          <w:smallCaps/>
          <w:color w:val="000000" w:themeColor="text1"/>
        </w:rPr>
        <w:t>abilità comunicative).</w:t>
      </w:r>
    </w:p>
    <w:p w14:paraId="75A51621" w14:textId="77777777" w:rsidR="007B00A2" w:rsidRPr="00771ADA" w:rsidRDefault="007B00A2" w:rsidP="00BF4718">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sidRPr="00771ADA">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sidRPr="00771ADA">
        <w:rPr>
          <w:color w:val="000000" w:themeColor="text1"/>
        </w:rPr>
        <w:t xml:space="preserve">obiettivo </w:t>
      </w:r>
      <w:r w:rsidRPr="00771ADA">
        <w:rPr>
          <w:rFonts w:eastAsiaTheme="minorHAnsi"/>
          <w:smallCaps/>
          <w:color w:val="000000" w:themeColor="text1"/>
        </w:rPr>
        <w:t>capacità di apprendere).</w:t>
      </w:r>
    </w:p>
    <w:p w14:paraId="594ED43C" w14:textId="77777777" w:rsidR="00273B31" w:rsidRDefault="00273B31" w:rsidP="00144C66">
      <w:pPr>
        <w:spacing w:before="240" w:after="120" w:line="240" w:lineRule="exact"/>
        <w:rPr>
          <w:rFonts w:eastAsiaTheme="minorHAnsi"/>
          <w:b/>
          <w:sz w:val="18"/>
          <w:lang w:eastAsia="en-US"/>
        </w:rPr>
      </w:pPr>
      <w:r>
        <w:rPr>
          <w:rFonts w:eastAsiaTheme="minorHAnsi"/>
          <w:b/>
          <w:i/>
          <w:sz w:val="18"/>
          <w:lang w:eastAsia="en-US"/>
        </w:rPr>
        <w:t>PROGRAMMA DEL CORSO</w:t>
      </w:r>
    </w:p>
    <w:p w14:paraId="4030F32A" w14:textId="77777777" w:rsidR="00273B31" w:rsidRPr="00CF28A2" w:rsidRDefault="00273B31" w:rsidP="00144C66">
      <w:pPr>
        <w:spacing w:line="240" w:lineRule="exact"/>
      </w:pPr>
      <w:r w:rsidRPr="00CF28A2">
        <w:t xml:space="preserve">Il corso affronta in ordine sequenziale i rapporti di lavoro individuali (“Contratti di lavoro”) e collettivi (“Rapporti sindacali”). Le lezioni saranno dedicate per 2/3 ai Contratti di lavoro e per 1/3 ai Rapporti sindacali, secondo il </w:t>
      </w:r>
      <w:r w:rsidRPr="00CF28A2">
        <w:rPr>
          <w:i/>
        </w:rPr>
        <w:t>syllabus</w:t>
      </w:r>
      <w:r w:rsidRPr="00CF28A2">
        <w:t xml:space="preserve"> seguente:</w:t>
      </w:r>
    </w:p>
    <w:p w14:paraId="30ED6548" w14:textId="77777777" w:rsidR="00273B31" w:rsidRPr="00CF28A2" w:rsidRDefault="00273B31" w:rsidP="00144C66">
      <w:pPr>
        <w:spacing w:line="240" w:lineRule="exact"/>
      </w:pPr>
      <w:r w:rsidRPr="00CF28A2">
        <w:rPr>
          <w:i/>
        </w:rPr>
        <w:t>Contratti di lavoro</w:t>
      </w:r>
    </w:p>
    <w:p w14:paraId="1E533886"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I rapporti di lavoro nel codice civile e nella Costituzione.</w:t>
      </w:r>
    </w:p>
    <w:p w14:paraId="79AC3D73"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L’organizzazione giuridica del mercato del lavoro.</w:t>
      </w:r>
    </w:p>
    <w:p w14:paraId="5FBE5DA3"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Il lavoro subordinato (</w:t>
      </w:r>
      <w:r w:rsidRPr="00CF28A2">
        <w:rPr>
          <w:rFonts w:ascii="Times New Roman" w:hAnsi="Times New Roman"/>
          <w:i/>
        </w:rPr>
        <w:t>part time</w:t>
      </w:r>
      <w:r w:rsidRPr="00CF28A2">
        <w:rPr>
          <w:rFonts w:ascii="Times New Roman" w:hAnsi="Times New Roman"/>
        </w:rPr>
        <w:t>, termine, somministrazione, apprendistato) e autonomo (anche “organizzato”).</w:t>
      </w:r>
    </w:p>
    <w:p w14:paraId="251B0F9B"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 xml:space="preserve">La tutela della professionalità: mansioni, qualifiche e categorie, il cd. </w:t>
      </w:r>
      <w:r w:rsidRPr="00CF28A2">
        <w:rPr>
          <w:rFonts w:ascii="Times New Roman" w:hAnsi="Times New Roman"/>
          <w:i/>
        </w:rPr>
        <w:t>jus variandi</w:t>
      </w:r>
      <w:r w:rsidRPr="00CF28A2">
        <w:rPr>
          <w:rFonts w:ascii="Times New Roman" w:hAnsi="Times New Roman"/>
        </w:rPr>
        <w:t>.</w:t>
      </w:r>
    </w:p>
    <w:p w14:paraId="1A327B89"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Luoghi e tempi della prestazione lavorativa (inclusi orario e riposi).</w:t>
      </w:r>
    </w:p>
    <w:p w14:paraId="1DBA0286"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disciplina della prestazione di lavoro: i poteri di direzione, controllo e disciplinare.</w:t>
      </w:r>
    </w:p>
    <w:p w14:paraId="03FF9AA9"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tutela della salute e sicurezza nei luoghi di lavoro.</w:t>
      </w:r>
    </w:p>
    <w:p w14:paraId="7FDCFFE9" w14:textId="77777777" w:rsidR="00273B31" w:rsidRPr="00CF28A2" w:rsidRDefault="00273B31" w:rsidP="00144C66">
      <w:pPr>
        <w:pStyle w:val="Paragrafoelenco"/>
        <w:numPr>
          <w:ilvl w:val="0"/>
          <w:numId w:val="1"/>
        </w:numPr>
        <w:rPr>
          <w:rFonts w:ascii="Times New Roman" w:hAnsi="Times New Roman"/>
        </w:rPr>
      </w:pPr>
      <w:r w:rsidRPr="00CF28A2">
        <w:rPr>
          <w:rFonts w:ascii="Times New Roman" w:hAnsi="Times New Roman"/>
        </w:rPr>
        <w:t>La retribuzione e il trattamento di fine rapporto (TFR).</w:t>
      </w:r>
    </w:p>
    <w:p w14:paraId="5C528887"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lastRenderedPageBreak/>
        <w:t>Le sospensioni del rapporto di lavoro (congedi e cassa integrazione guadagni, altri ammortizzatori sociali).</w:t>
      </w:r>
    </w:p>
    <w:p w14:paraId="654C78AF"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tutela verso i licenziamenti illegittimi e le altre garanzie alla fine del rapporto di lavoro.</w:t>
      </w:r>
    </w:p>
    <w:p w14:paraId="41BEC304" w14:textId="77777777" w:rsidR="00273B31" w:rsidRPr="007B00A2" w:rsidRDefault="00273B31" w:rsidP="00144C66">
      <w:pPr>
        <w:spacing w:line="240" w:lineRule="exact"/>
        <w:rPr>
          <w:i/>
          <w:szCs w:val="20"/>
        </w:rPr>
      </w:pPr>
      <w:r w:rsidRPr="007B00A2">
        <w:rPr>
          <w:i/>
          <w:szCs w:val="20"/>
        </w:rPr>
        <w:t>Rapporti sindacali</w:t>
      </w:r>
    </w:p>
    <w:p w14:paraId="4E4C4A71"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libertà sindacale nella Costituzione e nello Statuto dei lavoratori.</w:t>
      </w:r>
    </w:p>
    <w:p w14:paraId="5FD0B0A8"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La contrattazione collettiva.</w:t>
      </w:r>
    </w:p>
    <w:p w14:paraId="6416148A"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Le rappresentanze sindacali in azienda e i diritti sindacali.</w:t>
      </w:r>
    </w:p>
    <w:p w14:paraId="3E1EE779"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Il diritto di sciopero e la libertà economica di serrata.</w:t>
      </w:r>
    </w:p>
    <w:p w14:paraId="42A2D1AB" w14:textId="77777777" w:rsidR="00273B31" w:rsidRPr="007B00A2" w:rsidRDefault="00273B31" w:rsidP="00144C66">
      <w:pPr>
        <w:pStyle w:val="Paragrafoelenco"/>
        <w:numPr>
          <w:ilvl w:val="0"/>
          <w:numId w:val="1"/>
        </w:numPr>
        <w:rPr>
          <w:rFonts w:ascii="Times New Roman" w:hAnsi="Times New Roman"/>
        </w:rPr>
      </w:pPr>
      <w:r w:rsidRPr="007B00A2">
        <w:rPr>
          <w:rFonts w:ascii="Times New Roman" w:hAnsi="Times New Roman"/>
        </w:rPr>
        <w:t>I limiti all’esercizio del diritto di sciopero nei servizi pubblici essenziali.</w:t>
      </w:r>
    </w:p>
    <w:p w14:paraId="7B52563F" w14:textId="118D6BA3" w:rsidR="00273B31" w:rsidRPr="00BF4718" w:rsidRDefault="00273B31" w:rsidP="00144C66">
      <w:pPr>
        <w:spacing w:before="240" w:after="120"/>
        <w:rPr>
          <w:rFonts w:eastAsiaTheme="minorHAnsi"/>
          <w:b/>
          <w:i/>
          <w:sz w:val="18"/>
          <w:szCs w:val="18"/>
          <w:lang w:eastAsia="en-US"/>
        </w:rPr>
      </w:pPr>
      <w:r w:rsidRPr="00BF4718">
        <w:rPr>
          <w:rFonts w:eastAsiaTheme="minorHAnsi"/>
          <w:b/>
          <w:i/>
          <w:sz w:val="18"/>
          <w:szCs w:val="18"/>
          <w:lang w:eastAsia="en-US"/>
        </w:rPr>
        <w:t>BIBLIOGRAFIA</w:t>
      </w:r>
      <w:r w:rsidR="00ED58BD">
        <w:rPr>
          <w:rStyle w:val="Rimandonotaapidipagina"/>
          <w:rFonts w:eastAsiaTheme="minorHAnsi"/>
          <w:b/>
          <w:i/>
          <w:sz w:val="18"/>
          <w:szCs w:val="18"/>
          <w:lang w:eastAsia="en-US"/>
        </w:rPr>
        <w:footnoteReference w:id="1"/>
      </w:r>
    </w:p>
    <w:p w14:paraId="20C3B9E2" w14:textId="77777777" w:rsidR="00273B31" w:rsidRPr="004B0D88" w:rsidRDefault="00273B31" w:rsidP="004B0D88">
      <w:pPr>
        <w:pStyle w:val="Testo1"/>
      </w:pPr>
      <w:r w:rsidRPr="004B0D88">
        <w:t>Lo studente può preparare l’esame scegliendo in alternativa tra le due seguenti possibilità:</w:t>
      </w:r>
    </w:p>
    <w:p w14:paraId="0FBEC47C" w14:textId="042CDECF" w:rsidR="00273B31" w:rsidRPr="004B0D88" w:rsidRDefault="00273B31" w:rsidP="004B0D88">
      <w:pPr>
        <w:pStyle w:val="Testo1"/>
      </w:pPr>
      <w:r w:rsidRPr="004B0D88">
        <w:t>O studio di entrambi i seguenti volumi (ultime edizioni disponibili): M. Roccella, Manuale di diritto del lavoro (edizione a cura di D. Gottardi-F. Guarriello), Giappichelli</w:t>
      </w:r>
      <w:r w:rsidR="00ED58BD">
        <w:t xml:space="preserve"> </w:t>
      </w:r>
      <w:hyperlink r:id="rId12" w:history="1">
        <w:r w:rsidR="00ED58BD" w:rsidRPr="00ED58BD">
          <w:rPr>
            <w:rStyle w:val="Collegamentoipertestuale"/>
            <w:rFonts w:ascii="Times New Roman" w:hAnsi="Times New Roman"/>
            <w:i/>
            <w:sz w:val="16"/>
            <w:szCs w:val="16"/>
          </w:rPr>
          <w:t>Acquista da VP</w:t>
        </w:r>
      </w:hyperlink>
      <w:r w:rsidRPr="004B0D88">
        <w:t xml:space="preserve"> + M.V. Ballestrero, Diritto sindacale, Giappichelli;</w:t>
      </w:r>
      <w:r w:rsidR="00ED58BD">
        <w:t xml:space="preserve"> </w:t>
      </w:r>
      <w:hyperlink r:id="rId13" w:history="1">
        <w:r w:rsidR="00ED58BD" w:rsidRPr="00ED58BD">
          <w:rPr>
            <w:rStyle w:val="Collegamentoipertestuale"/>
            <w:rFonts w:ascii="Times New Roman" w:hAnsi="Times New Roman"/>
            <w:i/>
            <w:sz w:val="16"/>
            <w:szCs w:val="16"/>
          </w:rPr>
          <w:t>Acquista da VP</w:t>
        </w:r>
      </w:hyperlink>
    </w:p>
    <w:p w14:paraId="24847110" w14:textId="4FEB0B8A" w:rsidR="00273B31" w:rsidRPr="004B0D88" w:rsidRDefault="00273B31" w:rsidP="004B0D88">
      <w:pPr>
        <w:pStyle w:val="Testo1"/>
      </w:pPr>
      <w:r w:rsidRPr="004B0D88">
        <w:t>O studio di entrambi i volumi del testo F. Carinci-R. De Luca Tamajo-P. Tosi-T. Treu, Diritto del lavoro, Utet (vol. II Il rapporto di lavoro subordinato + vol. I Il diritto sindacale), ultime edizioni disponibili.</w:t>
      </w:r>
      <w:r w:rsidR="00ED58BD">
        <w:t xml:space="preserve"> </w:t>
      </w:r>
      <w:hyperlink r:id="rId14" w:history="1">
        <w:r w:rsidR="00ED58BD" w:rsidRPr="00ED58BD">
          <w:rPr>
            <w:rStyle w:val="Collegamentoipertestuale"/>
            <w:rFonts w:ascii="Times New Roman" w:hAnsi="Times New Roman"/>
            <w:i/>
            <w:sz w:val="16"/>
            <w:szCs w:val="16"/>
          </w:rPr>
          <w:t>Acquista da VP</w:t>
        </w:r>
      </w:hyperlink>
      <w:bookmarkStart w:id="0" w:name="_GoBack"/>
      <w:bookmarkEnd w:id="0"/>
    </w:p>
    <w:p w14:paraId="07F22624" w14:textId="77777777" w:rsidR="00273B31" w:rsidRPr="00BF4718" w:rsidRDefault="00273B31" w:rsidP="00273B31">
      <w:pPr>
        <w:spacing w:before="240" w:after="120"/>
        <w:rPr>
          <w:rFonts w:eastAsiaTheme="minorHAnsi"/>
          <w:b/>
          <w:i/>
          <w:sz w:val="18"/>
          <w:szCs w:val="18"/>
          <w:lang w:eastAsia="en-US"/>
        </w:rPr>
      </w:pPr>
      <w:r w:rsidRPr="00BF4718">
        <w:rPr>
          <w:rFonts w:eastAsiaTheme="minorHAnsi"/>
          <w:b/>
          <w:i/>
          <w:sz w:val="18"/>
          <w:szCs w:val="18"/>
          <w:lang w:eastAsia="en-US"/>
        </w:rPr>
        <w:t>DIDATTICA DEL CORSO</w:t>
      </w:r>
    </w:p>
    <w:p w14:paraId="6FADF6D0" w14:textId="77777777" w:rsidR="00273B31" w:rsidRPr="007B00A2" w:rsidRDefault="00273B31" w:rsidP="004B0D88">
      <w:pPr>
        <w:pStyle w:val="Testo1"/>
      </w:pPr>
      <w:r w:rsidRPr="007B00A2">
        <w:t>Lezioni frontali</w:t>
      </w:r>
      <w:r w:rsidR="007B00A2">
        <w:t>,</w:t>
      </w:r>
      <w:r w:rsidR="007B00A2" w:rsidRPr="007B00A2">
        <w:t xml:space="preserve"> </w:t>
      </w:r>
      <w:r w:rsidR="007B00A2">
        <w:t>inclusa la illustrazione e trattazione di casi giurisprudenziali di significativa attualità.</w:t>
      </w:r>
    </w:p>
    <w:p w14:paraId="7FE26B31" w14:textId="77777777" w:rsidR="00273B31" w:rsidRPr="00BF4718" w:rsidRDefault="00273B31" w:rsidP="00273B31">
      <w:pPr>
        <w:spacing w:before="240" w:after="120"/>
        <w:rPr>
          <w:rFonts w:eastAsiaTheme="minorHAnsi"/>
          <w:b/>
          <w:i/>
          <w:sz w:val="18"/>
          <w:szCs w:val="18"/>
          <w:lang w:eastAsia="en-US"/>
        </w:rPr>
      </w:pPr>
      <w:r w:rsidRPr="00BF4718">
        <w:rPr>
          <w:rFonts w:eastAsiaTheme="minorHAnsi"/>
          <w:b/>
          <w:i/>
          <w:sz w:val="18"/>
          <w:szCs w:val="18"/>
          <w:lang w:eastAsia="en-US"/>
        </w:rPr>
        <w:t>METODO E CRITERI DI VALUTAZIONE</w:t>
      </w:r>
    </w:p>
    <w:p w14:paraId="2C372AB7" w14:textId="77777777" w:rsidR="007B00A2" w:rsidRPr="004B0D88" w:rsidRDefault="007B00A2" w:rsidP="004B0D88">
      <w:pPr>
        <w:pStyle w:val="Testo2"/>
      </w:pPr>
      <w:r w:rsidRPr="004B0D88">
        <w:t>L’esame finale mira a valutare la preparazione dello studente in relazione agli obiettivi didattici, inclusa la maturità raggiunta nella acquisizione di autonomia di giudizio e di adeguate abilità comunicative.</w:t>
      </w:r>
    </w:p>
    <w:p w14:paraId="5B6E8851" w14:textId="77777777" w:rsidR="007B00A2" w:rsidRPr="004B0D88" w:rsidRDefault="007B00A2" w:rsidP="004B0D88">
      <w:pPr>
        <w:pStyle w:val="Testo2"/>
      </w:pPr>
      <w:r w:rsidRPr="004B0D88">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3A708376" w14:textId="77777777" w:rsidR="007B00A2" w:rsidRPr="004B0D88" w:rsidRDefault="007B00A2" w:rsidP="004B0D88">
      <w:pPr>
        <w:pStyle w:val="Testo2"/>
      </w:pPr>
      <w:r w:rsidRPr="004B0D88">
        <w:t xml:space="preserve">Attraverso queste domande si accerterà il livello di conoscenza complessiva acquisita dal candidato/a e la sua capacità di affrontare criticamente gli argomenti studiati anche </w:t>
      </w:r>
      <w:r w:rsidRPr="004B0D88">
        <w:lastRenderedPageBreak/>
        <w:t>mettendo in relazione le due parti del programma (“Contratti di lavoro” e “Rapporti sindacali”).</w:t>
      </w:r>
    </w:p>
    <w:p w14:paraId="09701F43" w14:textId="77777777" w:rsidR="007B00A2" w:rsidRPr="004B0D88" w:rsidRDefault="007B00A2" w:rsidP="004B0D88">
      <w:pPr>
        <w:pStyle w:val="Testo2"/>
      </w:pPr>
      <w:r w:rsidRPr="004B0D88">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2D6BF534" w14:textId="77777777" w:rsidR="007B00A2" w:rsidRPr="004B0D88" w:rsidRDefault="007B00A2" w:rsidP="004B0D88">
      <w:pPr>
        <w:pStyle w:val="Testo2"/>
      </w:pPr>
      <w:r w:rsidRPr="004B0D88">
        <w:t>Nello specifico, la prova di esame,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21AA97A5" w14:textId="77777777" w:rsidR="007B00A2" w:rsidRPr="004B0D88" w:rsidRDefault="007B00A2" w:rsidP="004B0D88">
      <w:pPr>
        <w:pStyle w:val="Testo2"/>
      </w:pPr>
      <w:r w:rsidRPr="004B0D88">
        <w:t>I criteri per l’attribuzione del voto finale sono i seguenti.</w:t>
      </w:r>
    </w:p>
    <w:p w14:paraId="288860EC" w14:textId="77777777" w:rsidR="007B00A2" w:rsidRPr="004B0D88" w:rsidRDefault="007B00A2" w:rsidP="004B0D88">
      <w:pPr>
        <w:pStyle w:val="Testo2"/>
      </w:pPr>
      <w:r w:rsidRPr="004B0D88">
        <w:t>- 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12FAF842" w14:textId="77777777" w:rsidR="007B00A2" w:rsidRPr="004B0D88" w:rsidRDefault="007B00A2" w:rsidP="004B0D88">
      <w:pPr>
        <w:pStyle w:val="Testo2"/>
      </w:pPr>
      <w:r w:rsidRPr="004B0D88">
        <w:t>- Una capacità di analisi e sintesi non del tutto articolate e/o l’utilizzo di un linguaggio non del tutto appropriato porteranno a valutazioni discrete/buone, con differenziazione del voto a seconda del livello di preparazione dimostrato nell’esame.</w:t>
      </w:r>
    </w:p>
    <w:p w14:paraId="4112AA22" w14:textId="77777777" w:rsidR="007B00A2" w:rsidRPr="004B0D88" w:rsidRDefault="007B00A2" w:rsidP="004B0D88">
      <w:pPr>
        <w:pStyle w:val="Testo2"/>
      </w:pPr>
      <w:r w:rsidRPr="004B0D88">
        <w:t>- La presenza di lacune formative o l’utilizzo di un linguaggio inappropriato, anche se non del tutto scorretto, nell’ambito di conoscenze di tipo basilare del programma condurranno ad una valutazione di sufficienza.</w:t>
      </w:r>
    </w:p>
    <w:p w14:paraId="0415B000" w14:textId="77EE4C0C" w:rsidR="007B00A2" w:rsidRDefault="007B00A2" w:rsidP="004B0D88">
      <w:pPr>
        <w:pStyle w:val="Testo2"/>
      </w:pPr>
      <w:r w:rsidRPr="004B0D88">
        <w:t>- L’emersione di lacune formative gravi e in ogni caso avere trascurato una parte del programma, l’utilizzo di un linguaggio scorretto o la mancanza di orientamento all’interno della bibliografia indicata saranno valutati negativamente.</w:t>
      </w:r>
    </w:p>
    <w:p w14:paraId="1EE7CABA" w14:textId="77777777" w:rsidR="0067725F" w:rsidRPr="009F47C6" w:rsidRDefault="0067725F" w:rsidP="00BF4718">
      <w:pPr>
        <w:pStyle w:val="Testo2"/>
        <w:spacing w:before="240" w:after="120"/>
        <w:rPr>
          <w:b/>
          <w:i/>
        </w:rPr>
      </w:pPr>
      <w:r w:rsidRPr="009F47C6">
        <w:rPr>
          <w:b/>
          <w:i/>
        </w:rPr>
        <w:t>AVVERTENZE E PREREQUISITI</w:t>
      </w:r>
    </w:p>
    <w:p w14:paraId="3D590169" w14:textId="77777777" w:rsidR="0067725F" w:rsidRPr="009F47C6" w:rsidRDefault="0067725F" w:rsidP="0067725F">
      <w:pPr>
        <w:pStyle w:val="Testo2"/>
      </w:pPr>
      <w:r w:rsidRPr="009F47C6">
        <w:t>Per tale insegnamento non sono previsti prerequisiti specifici.</w:t>
      </w:r>
    </w:p>
    <w:p w14:paraId="50ED0F41" w14:textId="77777777" w:rsidR="0067725F" w:rsidRPr="009F47C6" w:rsidRDefault="0067725F" w:rsidP="00BF4718">
      <w:pPr>
        <w:pStyle w:val="Testo2"/>
        <w:spacing w:before="120"/>
        <w:rPr>
          <w:i/>
        </w:rPr>
      </w:pPr>
      <w:r w:rsidRPr="009F47C6">
        <w:rPr>
          <w:i/>
        </w:rPr>
        <w:t>Orario e luogo di ricevimento</w:t>
      </w:r>
    </w:p>
    <w:p w14:paraId="316F164B" w14:textId="77777777" w:rsidR="0067725F" w:rsidRPr="00C6007F" w:rsidRDefault="0067725F" w:rsidP="0067725F">
      <w:pPr>
        <w:pStyle w:val="Testo2"/>
      </w:pPr>
      <w:r w:rsidRPr="009F47C6">
        <w:t xml:space="preserve">Il Prof. </w:t>
      </w:r>
      <w:r>
        <w:t>Mirko Altimari</w:t>
      </w:r>
      <w:r w:rsidRPr="009F47C6">
        <w:t xml:space="preserve"> riceverà gli studenti nel suo studio (stanza 3</w:t>
      </w:r>
      <w:r>
        <w:t>33</w:t>
      </w:r>
      <w:r w:rsidRPr="009F47C6">
        <w:t>, 3° piano edificio Gregorianum</w:t>
      </w:r>
      <w:r>
        <w:t>,</w:t>
      </w:r>
      <w:r w:rsidRPr="009F47C6">
        <w:t xml:space="preserve"> Largo Gemelli) il </w:t>
      </w:r>
      <w:r>
        <w:t>martedì</w:t>
      </w:r>
      <w:r w:rsidRPr="009F47C6">
        <w:t xml:space="preserve"> </w:t>
      </w:r>
      <w:r>
        <w:t xml:space="preserve">alle ore 15.30, previo appuntamento via mail. </w:t>
      </w:r>
    </w:p>
    <w:sectPr w:rsidR="0067725F" w:rsidRPr="00C6007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244BD" w14:textId="77777777" w:rsidR="00ED58BD" w:rsidRDefault="00ED58BD" w:rsidP="00ED58BD">
      <w:pPr>
        <w:spacing w:line="240" w:lineRule="auto"/>
      </w:pPr>
      <w:r>
        <w:separator/>
      </w:r>
    </w:p>
  </w:endnote>
  <w:endnote w:type="continuationSeparator" w:id="0">
    <w:p w14:paraId="79FB0F6C" w14:textId="77777777" w:rsidR="00ED58BD" w:rsidRDefault="00ED58BD" w:rsidP="00ED5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CA0C" w14:textId="77777777" w:rsidR="00ED58BD" w:rsidRDefault="00ED58BD" w:rsidP="00ED58BD">
      <w:pPr>
        <w:spacing w:line="240" w:lineRule="auto"/>
      </w:pPr>
      <w:r>
        <w:separator/>
      </w:r>
    </w:p>
  </w:footnote>
  <w:footnote w:type="continuationSeparator" w:id="0">
    <w:p w14:paraId="4B0BEF90" w14:textId="77777777" w:rsidR="00ED58BD" w:rsidRDefault="00ED58BD" w:rsidP="00ED58BD">
      <w:pPr>
        <w:spacing w:line="240" w:lineRule="auto"/>
      </w:pPr>
      <w:r>
        <w:continuationSeparator/>
      </w:r>
    </w:p>
  </w:footnote>
  <w:footnote w:id="1">
    <w:p w14:paraId="7966FB91" w14:textId="16A649AC" w:rsidR="00ED58BD" w:rsidRDefault="00ED58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D4A53DE"/>
    <w:multiLevelType w:val="hybridMultilevel"/>
    <w:tmpl w:val="FAAC4F58"/>
    <w:lvl w:ilvl="0" w:tplc="4D74B4EA">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687B0BF0"/>
    <w:multiLevelType w:val="hybridMultilevel"/>
    <w:tmpl w:val="E0D034CC"/>
    <w:lvl w:ilvl="0" w:tplc="4E9E8AC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31"/>
    <w:rsid w:val="00144C66"/>
    <w:rsid w:val="00187B99"/>
    <w:rsid w:val="002014DD"/>
    <w:rsid w:val="00273B31"/>
    <w:rsid w:val="002D5E17"/>
    <w:rsid w:val="003A1E03"/>
    <w:rsid w:val="0041756C"/>
    <w:rsid w:val="00450E38"/>
    <w:rsid w:val="004B0D88"/>
    <w:rsid w:val="004D1217"/>
    <w:rsid w:val="004D6008"/>
    <w:rsid w:val="005D060D"/>
    <w:rsid w:val="00640794"/>
    <w:rsid w:val="0067725F"/>
    <w:rsid w:val="006F1772"/>
    <w:rsid w:val="007B00A2"/>
    <w:rsid w:val="008531ED"/>
    <w:rsid w:val="008942E7"/>
    <w:rsid w:val="008A1204"/>
    <w:rsid w:val="00900CCA"/>
    <w:rsid w:val="00924B77"/>
    <w:rsid w:val="00940DA2"/>
    <w:rsid w:val="009E055C"/>
    <w:rsid w:val="00A74F6F"/>
    <w:rsid w:val="00AD7557"/>
    <w:rsid w:val="00B50C5D"/>
    <w:rsid w:val="00B51253"/>
    <w:rsid w:val="00B525CC"/>
    <w:rsid w:val="00BF4718"/>
    <w:rsid w:val="00C214DF"/>
    <w:rsid w:val="00C22125"/>
    <w:rsid w:val="00D404F2"/>
    <w:rsid w:val="00E607E6"/>
    <w:rsid w:val="00ED58BD"/>
    <w:rsid w:val="00EF625B"/>
    <w:rsid w:val="00F61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73B3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73B31"/>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ED58BD"/>
    <w:pPr>
      <w:spacing w:line="240" w:lineRule="auto"/>
    </w:pPr>
    <w:rPr>
      <w:szCs w:val="20"/>
    </w:rPr>
  </w:style>
  <w:style w:type="character" w:customStyle="1" w:styleId="TestonotaapidipaginaCarattere">
    <w:name w:val="Testo nota a piè di pagina Carattere"/>
    <w:basedOn w:val="Carpredefinitoparagrafo"/>
    <w:link w:val="Testonotaapidipagina"/>
    <w:rsid w:val="00ED58BD"/>
  </w:style>
  <w:style w:type="character" w:styleId="Rimandonotaapidipagina">
    <w:name w:val="footnote reference"/>
    <w:basedOn w:val="Carpredefinitoparagrafo"/>
    <w:rsid w:val="00ED58BD"/>
    <w:rPr>
      <w:vertAlign w:val="superscript"/>
    </w:rPr>
  </w:style>
  <w:style w:type="character" w:styleId="Collegamentoipertestuale">
    <w:name w:val="Hyperlink"/>
    <w:basedOn w:val="Carpredefinitoparagrafo"/>
    <w:rsid w:val="00ED58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73B3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73B31"/>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ED58BD"/>
    <w:pPr>
      <w:spacing w:line="240" w:lineRule="auto"/>
    </w:pPr>
    <w:rPr>
      <w:szCs w:val="20"/>
    </w:rPr>
  </w:style>
  <w:style w:type="character" w:customStyle="1" w:styleId="TestonotaapidipaginaCarattere">
    <w:name w:val="Testo nota a piè di pagina Carattere"/>
    <w:basedOn w:val="Carpredefinitoparagrafo"/>
    <w:link w:val="Testonotaapidipagina"/>
    <w:rsid w:val="00ED58BD"/>
  </w:style>
  <w:style w:type="character" w:styleId="Rimandonotaapidipagina">
    <w:name w:val="footnote reference"/>
    <w:basedOn w:val="Carpredefinitoparagrafo"/>
    <w:rsid w:val="00ED58BD"/>
    <w:rPr>
      <w:vertAlign w:val="superscript"/>
    </w:rPr>
  </w:style>
  <w:style w:type="character" w:styleId="Collegamentoipertestuale">
    <w:name w:val="Hyperlink"/>
    <w:basedOn w:val="Carpredefinitoparagrafo"/>
    <w:rsid w:val="00ED5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ria-vittoria-ballestrero/diritto-sindacale-9788892117389-552477.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massimo-roccella/manuale-di-diritto-del-lavoro-9788892101319-231485.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cerca.php?s=diritto%20del%20lavoro%20roccella%20treu%20utet%20giurid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0e8eadea260d3febfe448d29d8e6f59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1e2b9758ac3d3c164166d7d86111822c"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430D-0A81-4533-9578-12960BF28C41}">
  <ds:schemaRefs>
    <ds:schemaRef ds:uri="http://schemas.microsoft.com/sharepoint/v3/contenttype/forms"/>
  </ds:schemaRefs>
</ds:datastoreItem>
</file>

<file path=customXml/itemProps2.xml><?xml version="1.0" encoding="utf-8"?>
<ds:datastoreItem xmlns:ds="http://schemas.openxmlformats.org/officeDocument/2006/customXml" ds:itemID="{C2E92BA3-6B00-4F32-82FB-6D9DA7C3D70F}">
  <ds:schemaRefs>
    <ds:schemaRef ds:uri="http://purl.org/dc/terms/"/>
    <ds:schemaRef ds:uri="http://schemas.microsoft.com/office/infopath/2007/PartnerControls"/>
    <ds:schemaRef ds:uri="http://purl.org/dc/dcmitype/"/>
    <ds:schemaRef ds:uri="03aaa1a9-d627-43d8-9c25-125d861f1890"/>
    <ds:schemaRef ds:uri="http://schemas.microsoft.com/office/2006/documentManagement/types"/>
    <ds:schemaRef ds:uri="http://purl.org/dc/elements/1.1/"/>
    <ds:schemaRef ds:uri="http://schemas.openxmlformats.org/package/2006/metadata/core-properties"/>
    <ds:schemaRef ds:uri="4345d43a-acc9-4ada-9435-a3456e481d8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96F976-AA2F-4515-99C9-A741BACE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B76A3-C014-4258-99E7-ED971F94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1378</Words>
  <Characters>8621</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2022-05-19T11:38:00Z</dcterms:created>
  <dcterms:modified xsi:type="dcterms:W3CDTF">2022-07-25T13:48:00Z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