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B802E" w14:textId="77777777" w:rsidR="002D5E17" w:rsidRDefault="002D3D8A" w:rsidP="002D5E17">
      <w:pPr>
        <w:pStyle w:val="Titolo1"/>
      </w:pPr>
      <w:r w:rsidRPr="00FE7DE4">
        <w:t>Gestione del personale</w:t>
      </w:r>
    </w:p>
    <w:p w14:paraId="5341261F" w14:textId="4182D429" w:rsidR="002D3D8A" w:rsidRPr="00FE7DE4" w:rsidRDefault="007D4B82" w:rsidP="002D3D8A">
      <w:pPr>
        <w:pStyle w:val="Titolo2"/>
      </w:pPr>
      <w:r w:rsidRPr="00FE7DE4">
        <w:t>Prof. Anna Maria Cova</w:t>
      </w:r>
      <w:r>
        <w:t xml:space="preserve">, </w:t>
      </w:r>
      <w:r w:rsidR="002D3D8A" w:rsidRPr="00FE7DE4">
        <w:t xml:space="preserve">Prof. Barbara Imperatori </w:t>
      </w:r>
    </w:p>
    <w:p w14:paraId="0560630F" w14:textId="77777777" w:rsidR="002D3D8A" w:rsidRDefault="002D3D8A" w:rsidP="002D3D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C4EA39" w14:textId="6F8F8427" w:rsidR="002D3D8A" w:rsidRPr="000E1324" w:rsidRDefault="002D3D8A" w:rsidP="00384445">
      <w:pPr>
        <w:spacing w:line="240" w:lineRule="exact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La Direzione delle Risorse Umane affronta oggi </w:t>
      </w:r>
      <w:r w:rsidR="007D4B82" w:rsidRPr="000E1324">
        <w:rPr>
          <w:rFonts w:eastAsia="Calibri"/>
          <w:szCs w:val="18"/>
          <w:lang w:eastAsia="en-US"/>
        </w:rPr>
        <w:t>numerose sfide</w:t>
      </w:r>
      <w:r w:rsidRPr="000E1324">
        <w:rPr>
          <w:rFonts w:eastAsia="Calibri"/>
          <w:szCs w:val="18"/>
          <w:lang w:eastAsia="en-US"/>
        </w:rPr>
        <w:t>: presidiare la gestione quotidiana dei lavoratori</w:t>
      </w:r>
      <w:r w:rsidR="007D4B82" w:rsidRPr="000E1324">
        <w:rPr>
          <w:rFonts w:eastAsia="Calibri"/>
          <w:szCs w:val="18"/>
          <w:lang w:eastAsia="en-US"/>
        </w:rPr>
        <w:t xml:space="preserve">, garantire la sostenibilità dei modelli di business e il benessere organizzativo, accompagnare la formulazione e implementazione delle </w:t>
      </w:r>
      <w:r w:rsidRPr="000E1324">
        <w:rPr>
          <w:rFonts w:eastAsia="Calibri"/>
          <w:szCs w:val="18"/>
          <w:lang w:eastAsia="en-US"/>
        </w:rPr>
        <w:t>strategie; affiancare i manager nei processi di sviluppo</w:t>
      </w:r>
      <w:r w:rsidR="007D4B82" w:rsidRPr="000E1324">
        <w:rPr>
          <w:rFonts w:eastAsia="Calibri"/>
          <w:szCs w:val="18"/>
          <w:lang w:eastAsia="en-US"/>
        </w:rPr>
        <w:t xml:space="preserve"> e cambiamento continuo, gestire i talenti e le diversità</w:t>
      </w:r>
      <w:r w:rsidRPr="000E1324">
        <w:rPr>
          <w:rFonts w:eastAsia="Calibri"/>
          <w:szCs w:val="18"/>
          <w:lang w:eastAsia="en-US"/>
        </w:rPr>
        <w:t xml:space="preserve">. Obiettivo principale del percorso è condividere le logiche e i modelli di interpretazione e di azione della Direzione delle Risorse Umane. Il corso, inoltre, intende fornire le competenze e gli strumenti necessari per </w:t>
      </w:r>
      <w:r w:rsidR="00822D56" w:rsidRPr="000E1324">
        <w:rPr>
          <w:rFonts w:eastAsia="Calibri"/>
          <w:szCs w:val="18"/>
          <w:lang w:eastAsia="en-US"/>
        </w:rPr>
        <w:t xml:space="preserve">comprendere </w:t>
      </w:r>
      <w:r w:rsidRPr="000E1324">
        <w:rPr>
          <w:rFonts w:eastAsia="Calibri"/>
          <w:szCs w:val="18"/>
          <w:lang w:eastAsia="en-US"/>
        </w:rPr>
        <w:t>la gestione delle Risorse Umane in tutte le differenti fasi del ciclo di vita dei lavoratori secondo una logica sistemica: reclutamento e selezione, valutazione, formazione</w:t>
      </w:r>
      <w:r w:rsidR="008D07C4" w:rsidRPr="000E1324">
        <w:rPr>
          <w:rFonts w:eastAsia="Calibri"/>
          <w:szCs w:val="18"/>
          <w:lang w:eastAsia="en-US"/>
        </w:rPr>
        <w:t xml:space="preserve"> e sviluppo</w:t>
      </w:r>
      <w:r w:rsidRPr="000E1324">
        <w:rPr>
          <w:rFonts w:eastAsia="Calibri"/>
          <w:szCs w:val="18"/>
          <w:lang w:eastAsia="en-US"/>
        </w:rPr>
        <w:t>, carriera e ricompensa.</w:t>
      </w:r>
    </w:p>
    <w:p w14:paraId="665A7A40" w14:textId="77777777" w:rsidR="002D3D8A" w:rsidRPr="000E1324" w:rsidRDefault="002D3D8A" w:rsidP="00384445">
      <w:pPr>
        <w:spacing w:before="120" w:line="240" w:lineRule="exact"/>
        <w:rPr>
          <w:szCs w:val="18"/>
        </w:rPr>
      </w:pPr>
      <w:r w:rsidRPr="000E1324">
        <w:rPr>
          <w:szCs w:val="18"/>
        </w:rPr>
        <w:t xml:space="preserve">Al termine di questo corso lo studente sarà in grado di </w:t>
      </w:r>
    </w:p>
    <w:p w14:paraId="3810D885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analizzare il ruolo della Direzione delle Risorse Umane nei diversi contesti organizzativi</w:t>
      </w:r>
      <w:r w:rsidR="00384445" w:rsidRPr="000E1324">
        <w:rPr>
          <w:rFonts w:eastAsia="Calibri"/>
          <w:szCs w:val="18"/>
          <w:lang w:eastAsia="en-US"/>
        </w:rPr>
        <w:t>;</w:t>
      </w:r>
    </w:p>
    <w:p w14:paraId="794F3609" w14:textId="6FCDB41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comprendere il legame fra la gestione delle risorse umane, il vantaggio competitivo e </w:t>
      </w:r>
      <w:r w:rsidR="007D4B82" w:rsidRPr="000E1324">
        <w:rPr>
          <w:rFonts w:eastAsia="Calibri"/>
          <w:szCs w:val="18"/>
          <w:lang w:eastAsia="en-US"/>
        </w:rPr>
        <w:t>la sostenibilità dei modelli di business</w:t>
      </w:r>
      <w:r w:rsidR="008D07C4" w:rsidRPr="000E1324">
        <w:rPr>
          <w:rFonts w:eastAsia="Calibri"/>
          <w:szCs w:val="18"/>
          <w:lang w:eastAsia="en-US"/>
        </w:rPr>
        <w:t>;</w:t>
      </w:r>
      <w:r w:rsidR="007D4B82" w:rsidRPr="000E1324">
        <w:rPr>
          <w:rFonts w:eastAsia="Calibri"/>
          <w:szCs w:val="18"/>
          <w:lang w:eastAsia="en-US"/>
        </w:rPr>
        <w:t xml:space="preserve"> </w:t>
      </w:r>
    </w:p>
    <w:p w14:paraId="6ED901A9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comprendere i legami tra le diverse pratiche </w:t>
      </w:r>
      <w:r w:rsidR="00384445" w:rsidRPr="000E1324">
        <w:rPr>
          <w:rFonts w:eastAsia="Calibri"/>
          <w:szCs w:val="18"/>
          <w:lang w:eastAsia="en-US"/>
        </w:rPr>
        <w:t>di gestione delle risorse umane;</w:t>
      </w:r>
    </w:p>
    <w:p w14:paraId="16219D1E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capire le logiche di progettazione e implementazione di ciascun sistema di gestione delle risorse umane (ingresso, valutazione, ricompensa, svi</w:t>
      </w:r>
      <w:r w:rsidR="00384445" w:rsidRPr="000E1324">
        <w:rPr>
          <w:rFonts w:eastAsia="Calibri"/>
          <w:szCs w:val="18"/>
          <w:lang w:eastAsia="en-US"/>
        </w:rPr>
        <w:t>luppo);</w:t>
      </w:r>
    </w:p>
    <w:p w14:paraId="229550F5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apprezzare la rilevanza delle sfide e dei cambiamenti sociali, demografici e tecnologici e le implicazioni per i</w:t>
      </w:r>
      <w:r w:rsidR="00384445" w:rsidRPr="000E1324">
        <w:rPr>
          <w:rFonts w:eastAsia="Calibri"/>
          <w:szCs w:val="18"/>
          <w:lang w:eastAsia="en-US"/>
        </w:rPr>
        <w:t xml:space="preserve"> sistemi di gestione del lavoro;</w:t>
      </w:r>
    </w:p>
    <w:p w14:paraId="554F7E4D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analizzare e risolvere problemi legati alla gestione delle risorse umane</w:t>
      </w:r>
      <w:r w:rsidR="00384445" w:rsidRPr="000E1324">
        <w:rPr>
          <w:rFonts w:eastAsia="Calibri"/>
          <w:szCs w:val="18"/>
          <w:lang w:eastAsia="en-US"/>
        </w:rPr>
        <w:t>;</w:t>
      </w:r>
    </w:p>
    <w:p w14:paraId="65AD2BC2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proporre soluzioni di gestione delle risorse umane in grado di allineare i fabbisogni del business con quelli dei manager e dei lavoratori</w:t>
      </w:r>
      <w:r w:rsidR="00384445" w:rsidRPr="000E1324">
        <w:rPr>
          <w:rFonts w:eastAsia="Calibri"/>
          <w:szCs w:val="18"/>
          <w:lang w:eastAsia="en-US"/>
        </w:rPr>
        <w:t>;</w:t>
      </w:r>
    </w:p>
    <w:p w14:paraId="3F749EDF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relazionarsi con la Direzione delle Risorse Umane di un'azienda e con diversi interlocutori utilizzando linguaggi e concetti appropriati</w:t>
      </w:r>
      <w:r w:rsidR="00384445" w:rsidRPr="000E1324">
        <w:rPr>
          <w:rFonts w:eastAsia="Calibri"/>
          <w:szCs w:val="18"/>
          <w:lang w:eastAsia="en-US"/>
        </w:rPr>
        <w:t>;</w:t>
      </w:r>
    </w:p>
    <w:p w14:paraId="77FFB257" w14:textId="77777777" w:rsidR="00544EAC" w:rsidRPr="000E1324" w:rsidRDefault="00544EAC" w:rsidP="00544EAC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szCs w:val="18"/>
        </w:rPr>
        <w:t xml:space="preserve">organizzare una presentazione e comprendere le dinamiche del lavoro per progetti. </w:t>
      </w:r>
    </w:p>
    <w:p w14:paraId="2769B1F0" w14:textId="77777777" w:rsidR="002D3D8A" w:rsidRPr="00C45DFB" w:rsidRDefault="002D3D8A" w:rsidP="002D3D8A">
      <w:pPr>
        <w:spacing w:before="240" w:after="120" w:line="240" w:lineRule="exact"/>
        <w:rPr>
          <w:b/>
          <w:sz w:val="18"/>
          <w:szCs w:val="18"/>
        </w:rPr>
      </w:pPr>
      <w:r w:rsidRPr="00C45DFB">
        <w:rPr>
          <w:b/>
          <w:i/>
          <w:sz w:val="18"/>
          <w:szCs w:val="18"/>
        </w:rPr>
        <w:t>PROGRAMMA DEL CORSO</w:t>
      </w:r>
    </w:p>
    <w:p w14:paraId="1CDC0142" w14:textId="77777777" w:rsidR="002D3D8A" w:rsidRPr="000E1324" w:rsidRDefault="002D3D8A" w:rsidP="002D3D8A">
      <w:pPr>
        <w:rPr>
          <w:rFonts w:eastAsia="Calibri"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>Direzione delle risorse umane, strategia e valori aziendali</w:t>
      </w:r>
    </w:p>
    <w:p w14:paraId="3F28F5E0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Strategie, cultura organizzativa e ruolo delle Direzione delle Risorse Umane.</w:t>
      </w:r>
    </w:p>
    <w:p w14:paraId="216D755C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Ciclo del valore delle risorse umane.</w:t>
      </w:r>
    </w:p>
    <w:p w14:paraId="7F3BFBDF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Le determinanti della prestazione lavorativa.</w:t>
      </w:r>
    </w:p>
    <w:p w14:paraId="3B3A95B8" w14:textId="77777777" w:rsidR="002D3D8A" w:rsidRPr="000E1324" w:rsidRDefault="002D3D8A" w:rsidP="002D3D8A">
      <w:pPr>
        <w:spacing w:before="120"/>
        <w:rPr>
          <w:rFonts w:eastAsia="Calibri"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lastRenderedPageBreak/>
        <w:t>Entrare in azienda</w:t>
      </w:r>
    </w:p>
    <w:p w14:paraId="518E897C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Persone, motivazioni e competenze.</w:t>
      </w:r>
    </w:p>
    <w:p w14:paraId="643D4B7D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Processi di reclutamento.</w:t>
      </w:r>
    </w:p>
    <w:p w14:paraId="1E85D467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La selezione: persone giuste al posto giusto.</w:t>
      </w:r>
    </w:p>
    <w:p w14:paraId="0F322CAB" w14:textId="77777777" w:rsidR="002D3D8A" w:rsidRPr="000E1324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 xml:space="preserve">Valutare le risorse umane </w:t>
      </w:r>
    </w:p>
    <w:p w14:paraId="12E846E9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Processi di valutazione: posizione, prestazione, potenziale.</w:t>
      </w:r>
    </w:p>
    <w:p w14:paraId="73F50141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Nuove sfide per la valutazione della prestazione.</w:t>
      </w:r>
    </w:p>
    <w:p w14:paraId="193E05B0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 xml:space="preserve">Dare e ricevere </w:t>
      </w:r>
      <w:r w:rsidRPr="000E1324">
        <w:rPr>
          <w:rFonts w:eastAsia="Calibri"/>
          <w:i/>
          <w:szCs w:val="18"/>
          <w:lang w:eastAsia="en-US"/>
        </w:rPr>
        <w:t>feedback</w:t>
      </w:r>
      <w:r w:rsidRPr="000E1324">
        <w:rPr>
          <w:rFonts w:eastAsia="Calibri"/>
          <w:szCs w:val="18"/>
          <w:lang w:eastAsia="en-US"/>
        </w:rPr>
        <w:t>.</w:t>
      </w:r>
    </w:p>
    <w:p w14:paraId="7B6CFA24" w14:textId="77777777" w:rsidR="002D3D8A" w:rsidRPr="000E1324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 xml:space="preserve">Gestire e sviluppare le risorse umane: logiche e strumenti </w:t>
      </w:r>
    </w:p>
    <w:p w14:paraId="1EC522AD" w14:textId="77777777" w:rsidR="002D3D8A" w:rsidRPr="000E132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i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Carriera e </w:t>
      </w:r>
      <w:r w:rsidRPr="000E1324">
        <w:rPr>
          <w:rFonts w:eastAsia="Calibri"/>
          <w:i/>
          <w:szCs w:val="18"/>
          <w:lang w:eastAsia="en-US"/>
        </w:rPr>
        <w:t>internal mobility.</w:t>
      </w:r>
    </w:p>
    <w:p w14:paraId="0BD01A65" w14:textId="77777777" w:rsidR="002D3D8A" w:rsidRPr="000E132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Formazione e apprendimento.</w:t>
      </w:r>
    </w:p>
    <w:p w14:paraId="49915C79" w14:textId="77777777" w:rsidR="002D3D8A" w:rsidRPr="000E132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Formazione </w:t>
      </w:r>
      <w:r w:rsidRPr="000E1324">
        <w:rPr>
          <w:rFonts w:eastAsia="Calibri"/>
          <w:i/>
          <w:szCs w:val="18"/>
          <w:lang w:eastAsia="en-US"/>
        </w:rPr>
        <w:t>one-to-one</w:t>
      </w:r>
      <w:r w:rsidRPr="000E1324">
        <w:rPr>
          <w:rFonts w:eastAsia="Calibri"/>
          <w:szCs w:val="18"/>
          <w:lang w:eastAsia="en-US"/>
        </w:rPr>
        <w:t xml:space="preserve"> e altre modalità di formazione. </w:t>
      </w:r>
    </w:p>
    <w:p w14:paraId="6895683E" w14:textId="77777777" w:rsidR="002D3D8A" w:rsidRPr="000E1324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 xml:space="preserve">Ricompensare le risorse umane </w:t>
      </w:r>
    </w:p>
    <w:p w14:paraId="46CD0E01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Processi di ricompensa: logiche e strumenti.</w:t>
      </w:r>
    </w:p>
    <w:p w14:paraId="439F2364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 xml:space="preserve">Benessere, </w:t>
      </w:r>
      <w:r w:rsidRPr="000E1324">
        <w:rPr>
          <w:rFonts w:eastAsia="Calibri"/>
          <w:i/>
          <w:szCs w:val="18"/>
          <w:lang w:eastAsia="en-US"/>
        </w:rPr>
        <w:t>welfare</w:t>
      </w:r>
      <w:r w:rsidRPr="000E1324">
        <w:rPr>
          <w:rFonts w:eastAsia="Calibri"/>
          <w:szCs w:val="18"/>
          <w:lang w:eastAsia="en-US"/>
        </w:rPr>
        <w:t xml:space="preserve"> aziendale e </w:t>
      </w:r>
      <w:r w:rsidRPr="000E1324">
        <w:rPr>
          <w:rFonts w:eastAsia="Calibri"/>
          <w:i/>
          <w:szCs w:val="18"/>
          <w:lang w:eastAsia="en-US"/>
        </w:rPr>
        <w:t>total reward</w:t>
      </w:r>
      <w:r w:rsidRPr="000E1324">
        <w:rPr>
          <w:rFonts w:eastAsia="Calibri"/>
          <w:szCs w:val="18"/>
          <w:lang w:eastAsia="en-US"/>
        </w:rPr>
        <w:t>.</w:t>
      </w:r>
    </w:p>
    <w:p w14:paraId="4B1D83CD" w14:textId="77E13F25" w:rsidR="002D3D8A" w:rsidRPr="00876EED" w:rsidRDefault="002D3D8A" w:rsidP="002D3D8A">
      <w:pPr>
        <w:ind w:left="284" w:hanging="284"/>
        <w:rPr>
          <w:rFonts w:eastAsia="Calibri"/>
          <w:i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Responsabilità sociale</w:t>
      </w:r>
      <w:r w:rsidR="00876EED">
        <w:rPr>
          <w:rFonts w:eastAsia="Calibri"/>
          <w:szCs w:val="18"/>
          <w:lang w:eastAsia="en-US"/>
        </w:rPr>
        <w:t xml:space="preserve"> e </w:t>
      </w:r>
      <w:r w:rsidR="00876EED" w:rsidRPr="00876EED">
        <w:rPr>
          <w:rFonts w:eastAsia="Calibri"/>
          <w:i/>
          <w:szCs w:val="18"/>
          <w:lang w:eastAsia="en-US"/>
        </w:rPr>
        <w:t>sustainable HRM</w:t>
      </w:r>
      <w:r w:rsidRPr="00876EED">
        <w:rPr>
          <w:rFonts w:eastAsia="Calibri"/>
          <w:i/>
          <w:szCs w:val="18"/>
          <w:lang w:eastAsia="en-US"/>
        </w:rPr>
        <w:t>.</w:t>
      </w:r>
    </w:p>
    <w:p w14:paraId="46562C75" w14:textId="77777777" w:rsidR="002D3D8A" w:rsidRPr="000E1324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>Nuove sfide per la Direzione delle Risorse Umane</w:t>
      </w:r>
    </w:p>
    <w:p w14:paraId="72F46E4D" w14:textId="62A1D439" w:rsidR="002D3D8A" w:rsidRPr="000E1324" w:rsidRDefault="002D3D8A" w:rsidP="002D3D8A">
      <w:pPr>
        <w:ind w:left="284" w:hanging="284"/>
        <w:rPr>
          <w:rFonts w:eastAsia="Calibri"/>
          <w:i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</w:r>
      <w:r w:rsidRPr="000E1324">
        <w:rPr>
          <w:rFonts w:eastAsia="Calibri"/>
          <w:i/>
          <w:szCs w:val="18"/>
          <w:lang w:eastAsia="en-US"/>
        </w:rPr>
        <w:t>People engagement</w:t>
      </w:r>
      <w:r w:rsidR="00170040" w:rsidRPr="000E1324">
        <w:rPr>
          <w:rFonts w:eastAsia="Calibri"/>
          <w:i/>
          <w:szCs w:val="18"/>
          <w:lang w:eastAsia="en-US"/>
        </w:rPr>
        <w:t xml:space="preserve"> </w:t>
      </w:r>
    </w:p>
    <w:p w14:paraId="26386C19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Digitalizzazione: nuovi ruoli e nuovi modi di lavorare</w:t>
      </w:r>
      <w:r w:rsidR="00822D56" w:rsidRPr="000E1324">
        <w:rPr>
          <w:rFonts w:eastAsia="Calibri"/>
          <w:szCs w:val="18"/>
          <w:lang w:eastAsia="en-US"/>
        </w:rPr>
        <w:t xml:space="preserve"> dentro e fuori dai confini organizzativi</w:t>
      </w:r>
      <w:r w:rsidRPr="000E1324">
        <w:rPr>
          <w:rFonts w:eastAsia="Calibri"/>
          <w:szCs w:val="18"/>
          <w:lang w:eastAsia="en-US"/>
        </w:rPr>
        <w:t>.</w:t>
      </w:r>
    </w:p>
    <w:p w14:paraId="5D97B2C1" w14:textId="77777777" w:rsidR="002D3D8A" w:rsidRPr="000E1324" w:rsidRDefault="002D3D8A" w:rsidP="002D3D8A">
      <w:pPr>
        <w:ind w:left="284" w:hanging="284"/>
        <w:rPr>
          <w:rFonts w:eastAsia="Calibri"/>
          <w:i/>
          <w:szCs w:val="18"/>
          <w:lang w:val="en-US" w:eastAsia="en-US"/>
        </w:rPr>
      </w:pPr>
      <w:r w:rsidRPr="000E1324">
        <w:rPr>
          <w:rFonts w:eastAsia="Calibri"/>
          <w:szCs w:val="18"/>
          <w:lang w:val="en-US" w:eastAsia="en-US"/>
        </w:rPr>
        <w:t>–</w:t>
      </w:r>
      <w:r w:rsidRPr="000E1324">
        <w:rPr>
          <w:rFonts w:eastAsia="Calibri"/>
          <w:szCs w:val="18"/>
          <w:lang w:val="en-US" w:eastAsia="en-US"/>
        </w:rPr>
        <w:tab/>
      </w:r>
      <w:r w:rsidRPr="000E1324">
        <w:rPr>
          <w:rFonts w:eastAsia="Calibri"/>
          <w:i/>
          <w:szCs w:val="18"/>
          <w:lang w:val="en-US" w:eastAsia="en-US"/>
        </w:rPr>
        <w:t>Diversity management</w:t>
      </w:r>
      <w:r w:rsidRPr="000E1324">
        <w:rPr>
          <w:rFonts w:eastAsia="Calibri"/>
          <w:szCs w:val="18"/>
          <w:lang w:val="en-US" w:eastAsia="en-US"/>
        </w:rPr>
        <w:t xml:space="preserve">, </w:t>
      </w:r>
      <w:r w:rsidRPr="000E1324">
        <w:rPr>
          <w:rFonts w:eastAsia="Calibri"/>
          <w:i/>
          <w:szCs w:val="18"/>
          <w:lang w:val="en-US" w:eastAsia="en-US"/>
        </w:rPr>
        <w:t>talent management</w:t>
      </w:r>
      <w:r w:rsidRPr="000E1324">
        <w:rPr>
          <w:rFonts w:eastAsia="Calibri"/>
          <w:szCs w:val="18"/>
          <w:lang w:val="en-US" w:eastAsia="en-US"/>
        </w:rPr>
        <w:t xml:space="preserve"> e </w:t>
      </w:r>
      <w:r w:rsidRPr="000E1324">
        <w:rPr>
          <w:rFonts w:eastAsia="Calibri"/>
          <w:i/>
          <w:szCs w:val="18"/>
          <w:lang w:val="en-US" w:eastAsia="en-US"/>
        </w:rPr>
        <w:t>international HRM.</w:t>
      </w:r>
    </w:p>
    <w:p w14:paraId="1FB16E62" w14:textId="07DAAF32" w:rsidR="002D3D8A" w:rsidRPr="00C45DFB" w:rsidRDefault="002D3D8A" w:rsidP="00384445">
      <w:pPr>
        <w:spacing w:before="240" w:after="120"/>
        <w:rPr>
          <w:b/>
          <w:i/>
          <w:sz w:val="18"/>
          <w:szCs w:val="18"/>
          <w:lang w:val="en-US"/>
        </w:rPr>
      </w:pPr>
      <w:r w:rsidRPr="00C45DFB">
        <w:rPr>
          <w:b/>
          <w:i/>
          <w:sz w:val="18"/>
          <w:szCs w:val="18"/>
          <w:lang w:val="en-US"/>
        </w:rPr>
        <w:t>BIBLIOGRAFIA</w:t>
      </w:r>
      <w:r w:rsidR="00B21CC3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74E45807" w14:textId="0146EEB2" w:rsidR="002D3D8A" w:rsidRPr="00C45DFB" w:rsidRDefault="002D3D8A" w:rsidP="002D3D8A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  <w:lang w:eastAsia="en-US"/>
        </w:rPr>
      </w:pPr>
      <w:r w:rsidRPr="00C45DFB">
        <w:rPr>
          <w:rFonts w:eastAsia="Calibri"/>
          <w:smallCaps/>
          <w:szCs w:val="18"/>
          <w:lang w:val="en-GB" w:eastAsia="en-US"/>
        </w:rPr>
        <w:t xml:space="preserve">R.A. Noe-P.M. Wright-J.R. Hollenbeck-B. </w:t>
      </w:r>
      <w:r w:rsidRPr="00C45DFB">
        <w:rPr>
          <w:rFonts w:eastAsia="Calibri"/>
          <w:smallCaps/>
          <w:szCs w:val="18"/>
          <w:lang w:eastAsia="en-US"/>
        </w:rPr>
        <w:t>Gerhart</w:t>
      </w:r>
      <w:r w:rsidRPr="00C45DFB">
        <w:rPr>
          <w:rFonts w:eastAsia="Calibri"/>
          <w:smallCaps/>
          <w:spacing w:val="-5"/>
          <w:szCs w:val="18"/>
          <w:lang w:eastAsia="en-US"/>
        </w:rPr>
        <w:t>,</w:t>
      </w:r>
      <w:r w:rsidRPr="00C45DFB">
        <w:rPr>
          <w:rFonts w:eastAsia="Calibri"/>
          <w:i/>
          <w:spacing w:val="-5"/>
          <w:szCs w:val="18"/>
          <w:lang w:eastAsia="en-US"/>
        </w:rPr>
        <w:t xml:space="preserve"> Gestione delle Risorse Umane,</w:t>
      </w:r>
      <w:r w:rsidRPr="00C45DFB">
        <w:rPr>
          <w:rFonts w:eastAsia="Calibri"/>
          <w:spacing w:val="-5"/>
          <w:szCs w:val="18"/>
          <w:lang w:eastAsia="en-US"/>
        </w:rPr>
        <w:t xml:space="preserve"> Maggiol</w:t>
      </w:r>
      <w:r w:rsidR="00384445" w:rsidRPr="00C45DFB">
        <w:rPr>
          <w:rFonts w:eastAsia="Calibri"/>
          <w:spacing w:val="-5"/>
          <w:szCs w:val="18"/>
          <w:lang w:eastAsia="en-US"/>
        </w:rPr>
        <w:t xml:space="preserve">i editore, Milano, 2019, terza </w:t>
      </w:r>
      <w:r w:rsidRPr="00C45DFB">
        <w:rPr>
          <w:rFonts w:eastAsia="Calibri"/>
          <w:spacing w:val="-5"/>
          <w:szCs w:val="18"/>
          <w:lang w:eastAsia="en-US"/>
        </w:rPr>
        <w:t>edizione.</w:t>
      </w:r>
      <w:r w:rsidR="00B21CC3">
        <w:rPr>
          <w:rFonts w:eastAsia="Calibri"/>
          <w:spacing w:val="-5"/>
          <w:szCs w:val="18"/>
          <w:lang w:eastAsia="en-US"/>
        </w:rPr>
        <w:t xml:space="preserve"> </w:t>
      </w:r>
      <w:hyperlink r:id="rId9" w:history="1">
        <w:r w:rsidR="00B21CC3" w:rsidRPr="00B21CC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711E7BF" w14:textId="77777777" w:rsidR="002D3D8A" w:rsidRPr="00C45DFB" w:rsidRDefault="002D3D8A" w:rsidP="002D3D8A">
      <w:pPr>
        <w:pStyle w:val="Testo2"/>
        <w:spacing w:before="120"/>
        <w:rPr>
          <w:szCs w:val="18"/>
        </w:rPr>
      </w:pPr>
      <w:r w:rsidRPr="00C45DFB">
        <w:rPr>
          <w:i/>
          <w:szCs w:val="18"/>
        </w:rPr>
        <w:t>Casi di studio</w:t>
      </w:r>
      <w:r w:rsidRPr="00C45DFB">
        <w:rPr>
          <w:szCs w:val="18"/>
        </w:rPr>
        <w:t xml:space="preserve"> pubblicati nell’area in blackboard riservata agli studenti iscritti all’insegnamento.</w:t>
      </w:r>
    </w:p>
    <w:p w14:paraId="04F4771D" w14:textId="77777777" w:rsidR="002D3D8A" w:rsidRPr="00C45DFB" w:rsidRDefault="002D3D8A" w:rsidP="002D3D8A">
      <w:pPr>
        <w:pStyle w:val="Testo2"/>
        <w:spacing w:before="120"/>
        <w:rPr>
          <w:rFonts w:eastAsia="Calibri"/>
          <w:szCs w:val="18"/>
          <w:lang w:eastAsia="en-US"/>
        </w:rPr>
      </w:pPr>
      <w:r w:rsidRPr="00C45DFB">
        <w:rPr>
          <w:rFonts w:eastAsia="Calibri"/>
          <w:szCs w:val="18"/>
          <w:lang w:eastAsia="en-US"/>
        </w:rPr>
        <w:t xml:space="preserve">Ulteriore materiale di approfondimento verrà reso disponibile on-line attraverso la piattaforma </w:t>
      </w:r>
      <w:r w:rsidRPr="00C45DFB">
        <w:rPr>
          <w:rFonts w:eastAsia="Calibri"/>
          <w:i/>
          <w:szCs w:val="18"/>
          <w:lang w:eastAsia="en-US"/>
        </w:rPr>
        <w:t>Blackboard</w:t>
      </w:r>
      <w:r w:rsidRPr="00C45DFB">
        <w:rPr>
          <w:rFonts w:eastAsia="Calibri"/>
          <w:szCs w:val="18"/>
          <w:lang w:eastAsia="en-US"/>
        </w:rPr>
        <w:t xml:space="preserve"> dedicata.</w:t>
      </w:r>
    </w:p>
    <w:p w14:paraId="318A363A" w14:textId="77777777" w:rsidR="002D3D8A" w:rsidRPr="00C45DFB" w:rsidRDefault="002D3D8A" w:rsidP="002D3D8A">
      <w:pPr>
        <w:spacing w:before="240" w:after="120"/>
        <w:rPr>
          <w:b/>
          <w:i/>
          <w:sz w:val="18"/>
          <w:szCs w:val="18"/>
        </w:rPr>
      </w:pPr>
      <w:r w:rsidRPr="00C45DFB">
        <w:rPr>
          <w:b/>
          <w:i/>
          <w:sz w:val="18"/>
          <w:szCs w:val="18"/>
        </w:rPr>
        <w:t>DIDATTICA DEL CORSO</w:t>
      </w:r>
    </w:p>
    <w:p w14:paraId="1E4F2CBC" w14:textId="77777777" w:rsidR="002D3D8A" w:rsidRPr="00C45DFB" w:rsidRDefault="002D3D8A" w:rsidP="002D3D8A">
      <w:pPr>
        <w:pStyle w:val="Testo2"/>
        <w:rPr>
          <w:szCs w:val="18"/>
        </w:rPr>
      </w:pPr>
      <w:r w:rsidRPr="00C45DFB">
        <w:rPr>
          <w:szCs w:val="18"/>
        </w:rPr>
        <w:t xml:space="preserve">Il corso, erogato in modalità blended, prevede attività in forma residenziale (50%) ed in remoto (50%). </w:t>
      </w:r>
    </w:p>
    <w:p w14:paraId="5E73DDB8" w14:textId="14D56B04" w:rsidR="002D3D8A" w:rsidRPr="00C45DFB" w:rsidRDefault="002D3D8A" w:rsidP="002D3D8A">
      <w:pPr>
        <w:pStyle w:val="Testo2"/>
        <w:rPr>
          <w:rFonts w:eastAsia="Calibri"/>
          <w:szCs w:val="18"/>
          <w:lang w:eastAsia="en-US"/>
        </w:rPr>
      </w:pPr>
      <w:r w:rsidRPr="00C45DFB">
        <w:rPr>
          <w:szCs w:val="18"/>
        </w:rPr>
        <w:t xml:space="preserve">Le attività residenziali si fondano sull’utilizzo di lezioni interattive di inquadramento, analisi di casi e laboratori riflessivi </w:t>
      </w:r>
      <w:r w:rsidR="00822D56">
        <w:rPr>
          <w:szCs w:val="18"/>
        </w:rPr>
        <w:t xml:space="preserve">in </w:t>
      </w:r>
      <w:r w:rsidRPr="00C45DFB">
        <w:rPr>
          <w:szCs w:val="18"/>
        </w:rPr>
        <w:t>plenari</w:t>
      </w:r>
      <w:r w:rsidR="00822D56">
        <w:rPr>
          <w:szCs w:val="18"/>
        </w:rPr>
        <w:t>a</w:t>
      </w:r>
      <w:r w:rsidRPr="00C45DFB">
        <w:rPr>
          <w:szCs w:val="18"/>
        </w:rPr>
        <w:t xml:space="preserve">, esercitazioni, simulazioni e testimonianze. Le attività in remoto prevedono la fruizione di videolezioni (asicrone) ed un intenso utilizzo </w:t>
      </w:r>
      <w:r w:rsidRPr="00C45DFB">
        <w:rPr>
          <w:szCs w:val="18"/>
        </w:rPr>
        <w:lastRenderedPageBreak/>
        <w:t xml:space="preserve">di casi di studio oggetto di discussione mediante webinar esercitativi e feed-back-live (sincroni). </w:t>
      </w:r>
      <w:r w:rsidRPr="00C45DFB">
        <w:rPr>
          <w:rFonts w:eastAsia="Calibri"/>
          <w:szCs w:val="18"/>
          <w:lang w:eastAsia="en-US"/>
        </w:rPr>
        <w:t xml:space="preserve">Verranno inoltre proposte attività di action learning attraverso lo sviluppo di progetti in team. </w:t>
      </w:r>
    </w:p>
    <w:p w14:paraId="1E0DC93E" w14:textId="77777777" w:rsidR="002D3D8A" w:rsidRPr="00C45DFB" w:rsidRDefault="002D3D8A" w:rsidP="00384445">
      <w:pPr>
        <w:pStyle w:val="Testo2"/>
        <w:rPr>
          <w:b/>
          <w:i/>
          <w:szCs w:val="18"/>
        </w:rPr>
      </w:pPr>
      <w:r w:rsidRPr="00C45DFB">
        <w:rPr>
          <w:szCs w:val="18"/>
        </w:rPr>
        <w:t>Il syllabus contenente il programma analitico del corso sarà comunicato in Blackboard.</w:t>
      </w:r>
    </w:p>
    <w:p w14:paraId="11EE0A7F" w14:textId="77777777" w:rsidR="002D3D8A" w:rsidRPr="00C45DFB" w:rsidRDefault="002D3D8A" w:rsidP="002D3D8A">
      <w:pPr>
        <w:spacing w:before="240" w:after="120"/>
        <w:rPr>
          <w:b/>
          <w:i/>
          <w:sz w:val="18"/>
          <w:szCs w:val="18"/>
        </w:rPr>
      </w:pPr>
      <w:r w:rsidRPr="00C45DFB">
        <w:rPr>
          <w:b/>
          <w:i/>
          <w:sz w:val="18"/>
          <w:szCs w:val="18"/>
        </w:rPr>
        <w:t>METODO E CRITERI DI VALUTAZIONE</w:t>
      </w:r>
    </w:p>
    <w:p w14:paraId="74155BBD" w14:textId="77777777" w:rsidR="0037261E" w:rsidRPr="00C45DFB" w:rsidRDefault="004A2C2F" w:rsidP="0037261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>
        <w:rPr>
          <w:color w:val="201F1E"/>
          <w:sz w:val="18"/>
          <w:szCs w:val="18"/>
          <w:bdr w:val="none" w:sz="0" w:space="0" w:color="auto" w:frame="1"/>
        </w:rPr>
        <w:t xml:space="preserve">I </w:t>
      </w:r>
      <w:r w:rsidR="0037261E" w:rsidRPr="00C45DFB">
        <w:rPr>
          <w:bCs/>
          <w:color w:val="201F1E"/>
          <w:sz w:val="18"/>
          <w:szCs w:val="18"/>
          <w:bdr w:val="none" w:sz="0" w:space="0" w:color="auto" w:frame="1"/>
        </w:rPr>
        <w:t>criteri di valutazione</w:t>
      </w:r>
      <w:r>
        <w:rPr>
          <w:color w:val="201F1E"/>
          <w:sz w:val="18"/>
          <w:szCs w:val="18"/>
          <w:bdr w:val="none" w:sz="0" w:space="0" w:color="auto" w:frame="1"/>
        </w:rPr>
        <w:t xml:space="preserve"> </w:t>
      </w:r>
      <w:r w:rsidR="0037261E" w:rsidRPr="00C45DFB">
        <w:rPr>
          <w:color w:val="201F1E"/>
          <w:sz w:val="18"/>
          <w:szCs w:val="18"/>
          <w:bdr w:val="none" w:sz="0" w:space="0" w:color="auto" w:frame="1"/>
        </w:rPr>
        <w:t>prevalentemente utilizzati saranno i seguenti:</w:t>
      </w:r>
    </w:p>
    <w:p w14:paraId="64FA9EF3" w14:textId="77777777" w:rsidR="0037261E" w:rsidRPr="00C45DFB" w:rsidRDefault="0037261E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acquisizione solida delle conoscenze relative alle diverse aree di contenuto;</w:t>
      </w:r>
    </w:p>
    <w:p w14:paraId="7DB0C28A" w14:textId="77777777" w:rsidR="0037261E" w:rsidRPr="00C45DFB" w:rsidRDefault="0037261E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capacità di correlare i diversi contenuti in una visione unitaria e sistemica;</w:t>
      </w:r>
    </w:p>
    <w:p w14:paraId="0124286A" w14:textId="77777777" w:rsidR="0037261E" w:rsidRPr="00C45DFB" w:rsidRDefault="00C45DFB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 xml:space="preserve">profondità, </w:t>
      </w:r>
      <w:r>
        <w:rPr>
          <w:rFonts w:eastAsia="Calibri"/>
          <w:sz w:val="18"/>
          <w:szCs w:val="18"/>
          <w:lang w:eastAsia="en-US"/>
        </w:rPr>
        <w:t>chiarezza</w:t>
      </w:r>
      <w:r w:rsidR="0037261E" w:rsidRPr="00C45DF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e pertinenza delle argomentazioni </w:t>
      </w:r>
      <w:r w:rsidRPr="00C45DFB">
        <w:rPr>
          <w:rFonts w:eastAsia="Calibri"/>
          <w:sz w:val="18"/>
          <w:szCs w:val="18"/>
          <w:lang w:eastAsia="en-US"/>
        </w:rPr>
        <w:t>e appropriatezza del linguaggio tecnico e dei modelli e costrutti utilizzati</w:t>
      </w:r>
      <w:r w:rsidR="0037261E" w:rsidRPr="00C45DFB">
        <w:rPr>
          <w:rFonts w:eastAsia="Calibri"/>
          <w:sz w:val="18"/>
          <w:szCs w:val="18"/>
          <w:lang w:eastAsia="en-US"/>
        </w:rPr>
        <w:t>;</w:t>
      </w:r>
    </w:p>
    <w:p w14:paraId="2170204B" w14:textId="29DDBE0B" w:rsidR="0037261E" w:rsidRPr="00B44B9F" w:rsidRDefault="00C45DFB" w:rsidP="00B44B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capacità critica di analisi, diagnosi e risoluzione di problemi e di identificazione di proposte di miglioramento relativamente a situazioni reali e casi aziendali</w:t>
      </w:r>
      <w:r>
        <w:rPr>
          <w:rFonts w:eastAsia="Calibri"/>
          <w:sz w:val="18"/>
          <w:szCs w:val="18"/>
          <w:lang w:eastAsia="en-US"/>
        </w:rPr>
        <w:t>, attraverso la l’utilizzo di adeguati modelli e strumenti di analisi</w:t>
      </w:r>
      <w:r w:rsidRPr="00C45DFB">
        <w:rPr>
          <w:rFonts w:eastAsia="Calibri"/>
          <w:sz w:val="18"/>
          <w:szCs w:val="18"/>
          <w:lang w:eastAsia="en-US"/>
        </w:rPr>
        <w:t>.</w:t>
      </w:r>
    </w:p>
    <w:p w14:paraId="659390F2" w14:textId="77777777" w:rsidR="002D3D8A" w:rsidRPr="00C45DFB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rPr>
          <w:i/>
          <w:szCs w:val="18"/>
        </w:rPr>
      </w:pPr>
      <w:r w:rsidRPr="00C45DFB">
        <w:rPr>
          <w:i/>
          <w:szCs w:val="18"/>
        </w:rPr>
        <w:t>Valutazione progressiva in itinere</w:t>
      </w:r>
    </w:p>
    <w:p w14:paraId="692C7A7D" w14:textId="76EA5C95" w:rsidR="002D3D8A" w:rsidRPr="00AF5F34" w:rsidRDefault="002D3D8A" w:rsidP="002D3D8A">
      <w:pPr>
        <w:pStyle w:val="Testo2"/>
        <w:rPr>
          <w:szCs w:val="18"/>
        </w:rPr>
      </w:pPr>
      <w:r w:rsidRPr="00AF5F34">
        <w:rPr>
          <w:szCs w:val="18"/>
        </w:rPr>
        <w:t xml:space="preserve">Per gli studenti che optano per una valutazione progressiva </w:t>
      </w:r>
      <w:r w:rsidR="00170040" w:rsidRPr="00AF5F34">
        <w:rPr>
          <w:szCs w:val="18"/>
        </w:rPr>
        <w:t>in itinere si prevede che: il 50</w:t>
      </w:r>
      <w:r w:rsidRPr="00AF5F34">
        <w:rPr>
          <w:szCs w:val="18"/>
        </w:rPr>
        <w:t>% della valutazione sia effettuato mediante</w:t>
      </w:r>
      <w:r w:rsidR="00384445" w:rsidRPr="00AF5F34">
        <w:rPr>
          <w:szCs w:val="18"/>
        </w:rPr>
        <w:t xml:space="preserve"> due prove (una prova d’aula </w:t>
      </w:r>
      <w:r w:rsidR="00170040" w:rsidRPr="00AF5F34">
        <w:rPr>
          <w:szCs w:val="18"/>
        </w:rPr>
        <w:t>individuale</w:t>
      </w:r>
      <w:r w:rsidR="000D5F7A" w:rsidRPr="00AF5F34">
        <w:rPr>
          <w:szCs w:val="18"/>
        </w:rPr>
        <w:t xml:space="preserve"> </w:t>
      </w:r>
      <w:r w:rsidR="00AF5F34">
        <w:rPr>
          <w:szCs w:val="18"/>
        </w:rPr>
        <w:t xml:space="preserve">scritta </w:t>
      </w:r>
      <w:r w:rsidR="000D5F7A" w:rsidRPr="00AF5F34">
        <w:rPr>
          <w:szCs w:val="18"/>
        </w:rPr>
        <w:t xml:space="preserve">con domande </w:t>
      </w:r>
      <w:r w:rsidR="007A71DF">
        <w:rPr>
          <w:szCs w:val="18"/>
        </w:rPr>
        <w:t>aperte e minicasi che pesa il 20</w:t>
      </w:r>
      <w:r w:rsidR="000D5F7A" w:rsidRPr="00AF5F34">
        <w:rPr>
          <w:szCs w:val="18"/>
        </w:rPr>
        <w:t xml:space="preserve">% </w:t>
      </w:r>
      <w:r w:rsidR="00384445" w:rsidRPr="00AF5F34">
        <w:rPr>
          <w:szCs w:val="18"/>
        </w:rPr>
        <w:t xml:space="preserve">e </w:t>
      </w:r>
      <w:r w:rsidRPr="00AF5F34">
        <w:rPr>
          <w:szCs w:val="18"/>
        </w:rPr>
        <w:t xml:space="preserve">un </w:t>
      </w:r>
      <w:r w:rsidR="00544EAC" w:rsidRPr="00AF5F34">
        <w:rPr>
          <w:szCs w:val="18"/>
        </w:rPr>
        <w:t xml:space="preserve">progetto </w:t>
      </w:r>
      <w:r w:rsidRPr="00AF5F34">
        <w:rPr>
          <w:szCs w:val="18"/>
        </w:rPr>
        <w:t>di gruppo</w:t>
      </w:r>
      <w:r w:rsidR="007A71DF">
        <w:rPr>
          <w:szCs w:val="18"/>
        </w:rPr>
        <w:t xml:space="preserve"> che pesa il 30</w:t>
      </w:r>
      <w:r w:rsidR="000D5F7A" w:rsidRPr="00AF5F34">
        <w:rPr>
          <w:szCs w:val="18"/>
        </w:rPr>
        <w:t>%)</w:t>
      </w:r>
      <w:r w:rsidRPr="00AF5F34">
        <w:rPr>
          <w:szCs w:val="18"/>
        </w:rPr>
        <w:t xml:space="preserve"> </w:t>
      </w:r>
      <w:r w:rsidR="00170040" w:rsidRPr="00AF5F34">
        <w:rPr>
          <w:szCs w:val="18"/>
        </w:rPr>
        <w:t xml:space="preserve">organizzate </w:t>
      </w:r>
      <w:r w:rsidRPr="00AF5F34">
        <w:rPr>
          <w:szCs w:val="18"/>
        </w:rPr>
        <w:t xml:space="preserve">durante lo svolgimento del corso, secondo contenuti e tempistiche che saranno pubblicati nell’area Blackboard riservata agli </w:t>
      </w:r>
      <w:r w:rsidR="00170040" w:rsidRPr="00AF5F34">
        <w:rPr>
          <w:szCs w:val="18"/>
        </w:rPr>
        <w:t>studenti iscritti al corso; il</w:t>
      </w:r>
      <w:r w:rsidR="000D5F7A" w:rsidRPr="00AF5F34">
        <w:rPr>
          <w:szCs w:val="18"/>
        </w:rPr>
        <w:t xml:space="preserve"> rimanente </w:t>
      </w:r>
      <w:r w:rsidR="00170040" w:rsidRPr="00AF5F34">
        <w:rPr>
          <w:szCs w:val="18"/>
        </w:rPr>
        <w:t>5</w:t>
      </w:r>
      <w:r w:rsidRPr="00AF5F34">
        <w:rPr>
          <w:szCs w:val="18"/>
        </w:rPr>
        <w:t>0% della valutazione sia effettuato mediante prova finale scritta (che prevede domande aperte</w:t>
      </w:r>
      <w:r w:rsidR="000D5F7A" w:rsidRPr="00AF5F34">
        <w:rPr>
          <w:szCs w:val="18"/>
        </w:rPr>
        <w:t xml:space="preserve"> e </w:t>
      </w:r>
      <w:r w:rsidR="000D5F7A" w:rsidRPr="001E1734">
        <w:rPr>
          <w:szCs w:val="18"/>
        </w:rPr>
        <w:t>minicasi</w:t>
      </w:r>
      <w:r w:rsidRPr="001E1734">
        <w:rPr>
          <w:szCs w:val="18"/>
        </w:rPr>
        <w:t xml:space="preserve">). Si accede alla prova finale a fronte del conseguimento di una valutazione positiva delle </w:t>
      </w:r>
      <w:r w:rsidR="00AF5F34" w:rsidRPr="001E1734">
        <w:rPr>
          <w:szCs w:val="18"/>
        </w:rPr>
        <w:t xml:space="preserve">prime due </w:t>
      </w:r>
      <w:r w:rsidRPr="001E1734">
        <w:rPr>
          <w:szCs w:val="18"/>
        </w:rPr>
        <w:t xml:space="preserve">prove. Ai fini del superamento dell’esame, la prova finale (da tenersi in uno </w:t>
      </w:r>
      <w:r w:rsidRPr="00AF5F34">
        <w:rPr>
          <w:szCs w:val="18"/>
        </w:rPr>
        <w:t>solo dei 3 appelli successivi al termine dell’insegnamento) deve essere positiva.</w:t>
      </w:r>
    </w:p>
    <w:p w14:paraId="6A6400CC" w14:textId="77777777" w:rsidR="002D3D8A" w:rsidRPr="00AF5F34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641" w:hanging="357"/>
        <w:rPr>
          <w:i/>
          <w:szCs w:val="18"/>
        </w:rPr>
      </w:pPr>
      <w:r w:rsidRPr="00AF5F34">
        <w:rPr>
          <w:i/>
          <w:szCs w:val="18"/>
        </w:rPr>
        <w:t>Valutazione unitaria sommativa</w:t>
      </w:r>
    </w:p>
    <w:p w14:paraId="197F87D3" w14:textId="77777777" w:rsidR="002D3D8A" w:rsidRPr="00AF5F34" w:rsidRDefault="002D3D8A" w:rsidP="002D3D8A">
      <w:pPr>
        <w:pStyle w:val="Testo2"/>
        <w:ind w:firstLine="142"/>
        <w:rPr>
          <w:szCs w:val="18"/>
        </w:rPr>
      </w:pPr>
      <w:r w:rsidRPr="00AF5F34">
        <w:rPr>
          <w:szCs w:val="18"/>
        </w:rPr>
        <w:t xml:space="preserve">Per gli studenti che intendono optare per una valutazione unitaria in sede di appello di esame, l’esame si articola in una prova scritta che consiste in domande aperte e minicasi </w:t>
      </w:r>
      <w:r w:rsidRPr="00AF5F34">
        <w:rPr>
          <w:rFonts w:eastAsia="Calibri"/>
          <w:szCs w:val="18"/>
          <w:lang w:eastAsia="en-US"/>
        </w:rPr>
        <w:t>basata sui contenuti del testo di riferimento che avrà l’obiettivo di valutare le conoscenze e le capacità apprese</w:t>
      </w:r>
      <w:r w:rsidRPr="00AF5F34">
        <w:rPr>
          <w:szCs w:val="18"/>
        </w:rPr>
        <w:t xml:space="preserve">. </w:t>
      </w:r>
    </w:p>
    <w:p w14:paraId="4C8A6AD7" w14:textId="77777777" w:rsidR="002D3D8A" w:rsidRPr="00AF5F34" w:rsidRDefault="002D3D8A" w:rsidP="002D3D8A">
      <w:pPr>
        <w:spacing w:before="240" w:after="120" w:line="240" w:lineRule="exact"/>
        <w:rPr>
          <w:b/>
          <w:i/>
          <w:sz w:val="18"/>
          <w:szCs w:val="18"/>
        </w:rPr>
      </w:pPr>
      <w:r w:rsidRPr="00AF5F34">
        <w:rPr>
          <w:b/>
          <w:i/>
          <w:sz w:val="18"/>
          <w:szCs w:val="18"/>
        </w:rPr>
        <w:t>AVVERTENZE E PREREQUISITI</w:t>
      </w:r>
    </w:p>
    <w:p w14:paraId="753194FE" w14:textId="77777777" w:rsidR="002D3D8A" w:rsidRPr="00AF5F34" w:rsidRDefault="00384445" w:rsidP="002D3D8A">
      <w:pPr>
        <w:pStyle w:val="Testo2"/>
        <w:rPr>
          <w:szCs w:val="18"/>
        </w:rPr>
      </w:pPr>
      <w:r w:rsidRPr="00AF5F34">
        <w:rPr>
          <w:szCs w:val="18"/>
        </w:rPr>
        <w:t>È</w:t>
      </w:r>
      <w:r w:rsidR="002D3D8A" w:rsidRPr="00AF5F34">
        <w:rPr>
          <w:szCs w:val="18"/>
        </w:rPr>
        <w:t xml:space="preserve"> richi</w:t>
      </w:r>
      <w:r w:rsidR="000D5F7A" w:rsidRPr="00AF5F34">
        <w:rPr>
          <w:szCs w:val="18"/>
        </w:rPr>
        <w:t>esta una conoscenza di base degli istituti fondamentali dell’</w:t>
      </w:r>
      <w:r w:rsidR="002D3D8A" w:rsidRPr="00AF5F34">
        <w:rPr>
          <w:szCs w:val="18"/>
        </w:rPr>
        <w:t xml:space="preserve">Economia aziendale e dell’Organizzazione aziendale. </w:t>
      </w:r>
    </w:p>
    <w:p w14:paraId="0A2DBAC7" w14:textId="77777777" w:rsidR="002D3D8A" w:rsidRPr="00AF5F34" w:rsidRDefault="002D3D8A" w:rsidP="002D3D8A">
      <w:pPr>
        <w:pStyle w:val="Testo2"/>
        <w:rPr>
          <w:szCs w:val="18"/>
        </w:rPr>
      </w:pPr>
      <w:r w:rsidRPr="00AF5F34">
        <w:rPr>
          <w:szCs w:val="18"/>
        </w:rPr>
        <w:t xml:space="preserve">Gli studenti eventualmente non in possesso di tali conoscenze preliminari dovranno farsi carico di acquisirle attraverso un’attività di studio individuale così da potere seguire efficacemente il corso. </w:t>
      </w:r>
    </w:p>
    <w:p w14:paraId="17632A5B" w14:textId="77777777" w:rsidR="002D3D8A" w:rsidRPr="00AF5F34" w:rsidRDefault="002D3D8A" w:rsidP="00384445">
      <w:pPr>
        <w:pStyle w:val="Testo2"/>
        <w:rPr>
          <w:szCs w:val="18"/>
        </w:rPr>
      </w:pPr>
      <w:r w:rsidRPr="00AF5F34">
        <w:rPr>
          <w:szCs w:val="18"/>
        </w:rPr>
        <w:t>A tal fine, si suggeriscono i seguenti testi:</w:t>
      </w:r>
    </w:p>
    <w:p w14:paraId="525C922A" w14:textId="77777777" w:rsidR="002D3D8A" w:rsidRPr="00AF5F34" w:rsidRDefault="002D3D8A" w:rsidP="00384445">
      <w:pPr>
        <w:pStyle w:val="Testo2"/>
        <w:tabs>
          <w:tab w:val="left" w:pos="567"/>
        </w:tabs>
        <w:rPr>
          <w:szCs w:val="18"/>
        </w:rPr>
      </w:pPr>
      <w:r w:rsidRPr="00AF5F34">
        <w:rPr>
          <w:szCs w:val="18"/>
        </w:rPr>
        <w:t>–</w:t>
      </w:r>
      <w:r w:rsidRPr="00AF5F34">
        <w:rPr>
          <w:szCs w:val="18"/>
        </w:rPr>
        <w:tab/>
        <w:t>Airoldi, Brunetti, Coda “</w:t>
      </w:r>
      <w:r w:rsidRPr="00AF5F34">
        <w:rPr>
          <w:i/>
          <w:szCs w:val="18"/>
        </w:rPr>
        <w:t>Economia aziendale</w:t>
      </w:r>
      <w:r w:rsidRPr="00AF5F34">
        <w:rPr>
          <w:szCs w:val="18"/>
        </w:rPr>
        <w:t>”</w:t>
      </w:r>
    </w:p>
    <w:p w14:paraId="44603C6F" w14:textId="77777777" w:rsidR="002D3D8A" w:rsidRPr="00AF5F34" w:rsidRDefault="002D3D8A" w:rsidP="00384445">
      <w:pPr>
        <w:pStyle w:val="Testo2"/>
        <w:tabs>
          <w:tab w:val="left" w:pos="567"/>
        </w:tabs>
        <w:rPr>
          <w:szCs w:val="18"/>
        </w:rPr>
      </w:pPr>
      <w:r w:rsidRPr="00AF5F34">
        <w:rPr>
          <w:szCs w:val="18"/>
        </w:rPr>
        <w:t>–</w:t>
      </w:r>
      <w:r w:rsidRPr="00AF5F34">
        <w:rPr>
          <w:szCs w:val="18"/>
        </w:rPr>
        <w:tab/>
        <w:t>Daft “</w:t>
      </w:r>
      <w:r w:rsidRPr="00AF5F34">
        <w:rPr>
          <w:i/>
          <w:szCs w:val="18"/>
        </w:rPr>
        <w:t>Organizzazione aziendale</w:t>
      </w:r>
      <w:r w:rsidRPr="00AF5F34">
        <w:rPr>
          <w:szCs w:val="18"/>
        </w:rPr>
        <w:t>”</w:t>
      </w:r>
    </w:p>
    <w:p w14:paraId="3AFB4CBC" w14:textId="77777777" w:rsidR="002D3D8A" w:rsidRPr="00AF5F34" w:rsidRDefault="002D3D8A" w:rsidP="00384445">
      <w:pPr>
        <w:pStyle w:val="Testo2"/>
        <w:tabs>
          <w:tab w:val="left" w:pos="567"/>
        </w:tabs>
        <w:rPr>
          <w:i/>
          <w:szCs w:val="18"/>
        </w:rPr>
      </w:pPr>
      <w:r w:rsidRPr="00AF5F34">
        <w:rPr>
          <w:szCs w:val="18"/>
        </w:rPr>
        <w:t>–</w:t>
      </w:r>
      <w:r w:rsidRPr="00AF5F34">
        <w:rPr>
          <w:szCs w:val="18"/>
        </w:rPr>
        <w:tab/>
        <w:t>Grant “</w:t>
      </w:r>
      <w:r w:rsidRPr="00AF5F34">
        <w:rPr>
          <w:i/>
          <w:szCs w:val="18"/>
        </w:rPr>
        <w:t>L’analisi strategica per le decisioni aziendali</w:t>
      </w:r>
      <w:r w:rsidR="00544EAC" w:rsidRPr="00AF5F34">
        <w:rPr>
          <w:i/>
          <w:szCs w:val="18"/>
        </w:rPr>
        <w:t xml:space="preserve">. </w:t>
      </w:r>
    </w:p>
    <w:p w14:paraId="1984732F" w14:textId="77777777" w:rsidR="00544EAC" w:rsidRPr="00C45DFB" w:rsidRDefault="00544EAC" w:rsidP="00384445">
      <w:pPr>
        <w:pStyle w:val="Testo2"/>
        <w:tabs>
          <w:tab w:val="left" w:pos="567"/>
        </w:tabs>
        <w:rPr>
          <w:b/>
          <w:szCs w:val="18"/>
        </w:rPr>
      </w:pPr>
      <w:r w:rsidRPr="00AF5F34">
        <w:rPr>
          <w:szCs w:val="18"/>
        </w:rPr>
        <w:lastRenderedPageBreak/>
        <w:t xml:space="preserve">Nel caso in cui la situazione sanitaria relativa alla pandemia di Covid-19 non dovesse consentire la didattica in presenza, sarà garantita l’erogazione della </w:t>
      </w:r>
      <w:r w:rsidR="00666D98" w:rsidRPr="00AF5F34">
        <w:rPr>
          <w:szCs w:val="18"/>
        </w:rPr>
        <w:t xml:space="preserve">didattica </w:t>
      </w:r>
      <w:r w:rsidR="00AF44B3" w:rsidRPr="00AF5F34">
        <w:rPr>
          <w:szCs w:val="18"/>
        </w:rPr>
        <w:t xml:space="preserve">residenziale </w:t>
      </w:r>
      <w:r w:rsidR="00666D98" w:rsidRPr="00AF5F34">
        <w:rPr>
          <w:szCs w:val="18"/>
        </w:rPr>
        <w:t xml:space="preserve">comunque </w:t>
      </w:r>
      <w:r w:rsidRPr="00AF5F34">
        <w:rPr>
          <w:szCs w:val="18"/>
        </w:rPr>
        <w:t>in distance learning con modalità che verranno comunicate in tempo utile agli studenti.</w:t>
      </w:r>
    </w:p>
    <w:sectPr w:rsidR="00544EAC" w:rsidRPr="00C45D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0FC36" w14:textId="77777777" w:rsidR="00B21CC3" w:rsidRDefault="00B21CC3" w:rsidP="00B21CC3">
      <w:pPr>
        <w:spacing w:line="240" w:lineRule="auto"/>
      </w:pPr>
      <w:r>
        <w:separator/>
      </w:r>
    </w:p>
  </w:endnote>
  <w:endnote w:type="continuationSeparator" w:id="0">
    <w:p w14:paraId="7D741280" w14:textId="77777777" w:rsidR="00B21CC3" w:rsidRDefault="00B21CC3" w:rsidP="00B21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74375" w14:textId="77777777" w:rsidR="00B21CC3" w:rsidRDefault="00B21CC3" w:rsidP="00B21CC3">
      <w:pPr>
        <w:spacing w:line="240" w:lineRule="auto"/>
      </w:pPr>
      <w:r>
        <w:separator/>
      </w:r>
    </w:p>
  </w:footnote>
  <w:footnote w:type="continuationSeparator" w:id="0">
    <w:p w14:paraId="5BE5B021" w14:textId="77777777" w:rsidR="00B21CC3" w:rsidRDefault="00B21CC3" w:rsidP="00B21CC3">
      <w:pPr>
        <w:spacing w:line="240" w:lineRule="auto"/>
      </w:pPr>
      <w:r>
        <w:continuationSeparator/>
      </w:r>
    </w:p>
  </w:footnote>
  <w:footnote w:id="1">
    <w:p w14:paraId="6B7FBDE5" w14:textId="3DB61D61" w:rsidR="00B21CC3" w:rsidRDefault="00B21C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41DC2"/>
    <w:multiLevelType w:val="hybridMultilevel"/>
    <w:tmpl w:val="8984387C"/>
    <w:lvl w:ilvl="0" w:tplc="3E082040">
      <w:numFmt w:val="bullet"/>
      <w:lvlText w:val=""/>
      <w:lvlJc w:val="left"/>
      <w:pPr>
        <w:ind w:left="720" w:hanging="360"/>
      </w:pPr>
      <w:rPr>
        <w:rFonts w:ascii="Symbol" w:eastAsia="Times New Roman" w:hAnsi="Symbol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634A84"/>
    <w:multiLevelType w:val="hybridMultilevel"/>
    <w:tmpl w:val="551C7CB4"/>
    <w:lvl w:ilvl="0" w:tplc="451A4AF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15634"/>
    <w:multiLevelType w:val="hybridMultilevel"/>
    <w:tmpl w:val="A5C288E2"/>
    <w:lvl w:ilvl="0" w:tplc="3E082040">
      <w:numFmt w:val="bullet"/>
      <w:lvlText w:val=""/>
      <w:lvlJc w:val="left"/>
      <w:pPr>
        <w:ind w:left="360" w:hanging="360"/>
      </w:pPr>
      <w:rPr>
        <w:rFonts w:ascii="Symbol" w:eastAsia="Times New Roman" w:hAnsi="Symbol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5D2F92"/>
    <w:multiLevelType w:val="hybridMultilevel"/>
    <w:tmpl w:val="5CFC8C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B5"/>
    <w:rsid w:val="000D5F7A"/>
    <w:rsid w:val="000E1324"/>
    <w:rsid w:val="000F17B9"/>
    <w:rsid w:val="00170040"/>
    <w:rsid w:val="00187B99"/>
    <w:rsid w:val="001E1734"/>
    <w:rsid w:val="002014DD"/>
    <w:rsid w:val="0020363A"/>
    <w:rsid w:val="002D3D8A"/>
    <w:rsid w:val="002D4A5C"/>
    <w:rsid w:val="002D5E17"/>
    <w:rsid w:val="00347EA4"/>
    <w:rsid w:val="0037261E"/>
    <w:rsid w:val="00384445"/>
    <w:rsid w:val="00476468"/>
    <w:rsid w:val="004A2C2F"/>
    <w:rsid w:val="004D1217"/>
    <w:rsid w:val="004D6008"/>
    <w:rsid w:val="00544EAC"/>
    <w:rsid w:val="00640794"/>
    <w:rsid w:val="00666D98"/>
    <w:rsid w:val="006F1772"/>
    <w:rsid w:val="00763A8C"/>
    <w:rsid w:val="00772B0F"/>
    <w:rsid w:val="007A71DF"/>
    <w:rsid w:val="007D4B82"/>
    <w:rsid w:val="00822D56"/>
    <w:rsid w:val="00876EED"/>
    <w:rsid w:val="008942E7"/>
    <w:rsid w:val="008A1204"/>
    <w:rsid w:val="008D07C4"/>
    <w:rsid w:val="00900CCA"/>
    <w:rsid w:val="00924B77"/>
    <w:rsid w:val="00940DA2"/>
    <w:rsid w:val="009B78BD"/>
    <w:rsid w:val="009E055C"/>
    <w:rsid w:val="00A313B5"/>
    <w:rsid w:val="00A74F6F"/>
    <w:rsid w:val="00AD7557"/>
    <w:rsid w:val="00AF44B3"/>
    <w:rsid w:val="00AF5F34"/>
    <w:rsid w:val="00B01D37"/>
    <w:rsid w:val="00B21CC3"/>
    <w:rsid w:val="00B44B9F"/>
    <w:rsid w:val="00B50C5D"/>
    <w:rsid w:val="00B51253"/>
    <w:rsid w:val="00B525CC"/>
    <w:rsid w:val="00C45DFB"/>
    <w:rsid w:val="00D404F2"/>
    <w:rsid w:val="00E607E6"/>
    <w:rsid w:val="00E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67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customStyle="1" w:styleId="xtesto2">
    <w:name w:val="x_testo2"/>
    <w:basedOn w:val="Normale"/>
    <w:rsid w:val="0037261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7A7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71D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21C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1CC3"/>
  </w:style>
  <w:style w:type="character" w:styleId="Rimandonotaapidipagina">
    <w:name w:val="footnote reference"/>
    <w:basedOn w:val="Carpredefinitoparagrafo"/>
    <w:semiHidden/>
    <w:unhideWhenUsed/>
    <w:rsid w:val="00B21CC3"/>
    <w:rPr>
      <w:vertAlign w:val="superscript"/>
    </w:rPr>
  </w:style>
  <w:style w:type="character" w:styleId="Collegamentoipertestuale">
    <w:name w:val="Hyperlink"/>
    <w:basedOn w:val="Carpredefinitoparagrafo"/>
    <w:unhideWhenUsed/>
    <w:rsid w:val="00B21C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customStyle="1" w:styleId="xtesto2">
    <w:name w:val="x_testo2"/>
    <w:basedOn w:val="Normale"/>
    <w:rsid w:val="0037261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7A7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71D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21C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1CC3"/>
  </w:style>
  <w:style w:type="character" w:styleId="Rimandonotaapidipagina">
    <w:name w:val="footnote reference"/>
    <w:basedOn w:val="Carpredefinitoparagrafo"/>
    <w:semiHidden/>
    <w:unhideWhenUsed/>
    <w:rsid w:val="00B21CC3"/>
    <w:rPr>
      <w:vertAlign w:val="superscript"/>
    </w:rPr>
  </w:style>
  <w:style w:type="character" w:styleId="Collegamentoipertestuale">
    <w:name w:val="Hyperlink"/>
    <w:basedOn w:val="Carpredefinitoparagrafo"/>
    <w:unhideWhenUsed/>
    <w:rsid w:val="00B21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aymond-a-noe-john-r-hollenbeck-barry-gerhart/gestione-delle-risorse-umane-9788891621306-6755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E425-6C39-421F-AB42-A2A46E93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944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2022-05-09T15:33:00Z</cp:lastPrinted>
  <dcterms:created xsi:type="dcterms:W3CDTF">2022-05-11T10:15:00Z</dcterms:created>
  <dcterms:modified xsi:type="dcterms:W3CDTF">2022-07-26T07:11:00Z</dcterms:modified>
</cp:coreProperties>
</file>