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5E59" w14:textId="74A7E141" w:rsidR="00B56E1E" w:rsidRPr="001712B6" w:rsidRDefault="007D3914" w:rsidP="00B56E1E">
      <w:pPr>
        <w:pStyle w:val="Titolo1"/>
        <w:rPr>
          <w:rFonts w:ascii="Times New Roman" w:hAnsi="Times New Roman"/>
          <w:bCs/>
          <w:lang w:val="en-US"/>
        </w:rPr>
      </w:pPr>
      <w:r w:rsidRPr="001712B6">
        <w:rPr>
          <w:rFonts w:ascii="Times New Roman" w:hAnsi="Times New Roman"/>
          <w:bCs/>
          <w:lang w:val="en-US"/>
        </w:rPr>
        <w:t>Change management</w:t>
      </w:r>
    </w:p>
    <w:p w14:paraId="7DF401AF" w14:textId="77777777" w:rsidR="007D3914" w:rsidRPr="001712B6" w:rsidRDefault="007D3914" w:rsidP="007D3914">
      <w:pPr>
        <w:pStyle w:val="Titolo2"/>
        <w:rPr>
          <w:bCs/>
          <w:smallCaps w:val="0"/>
          <w:lang w:val="en-US"/>
        </w:rPr>
      </w:pPr>
      <w:r w:rsidRPr="001712B6">
        <w:rPr>
          <w:lang w:val="en-US"/>
        </w:rPr>
        <w:t>Prof. Giacomo Manara; Prof. Francisco J. Lara</w:t>
      </w:r>
    </w:p>
    <w:p w14:paraId="33645E0C" w14:textId="77777777" w:rsidR="001F6A84" w:rsidRPr="001712B6" w:rsidRDefault="001F6A84" w:rsidP="001F6A84">
      <w:pPr>
        <w:spacing w:before="240" w:after="120"/>
        <w:rPr>
          <w:b/>
          <w:i/>
          <w:sz w:val="18"/>
          <w:szCs w:val="18"/>
          <w:lang w:val="en-US"/>
        </w:rPr>
      </w:pPr>
      <w:r w:rsidRPr="001712B6">
        <w:rPr>
          <w:b/>
          <w:i/>
          <w:sz w:val="18"/>
          <w:szCs w:val="18"/>
          <w:lang w:val="en-US"/>
        </w:rPr>
        <w:t xml:space="preserve">COURSE AIMS AND INTENDED LEARNING OUTCOMES </w:t>
      </w:r>
    </w:p>
    <w:p w14:paraId="36B42757" w14:textId="0B142400" w:rsidR="007D3914" w:rsidRPr="001712B6" w:rsidRDefault="007D3914" w:rsidP="007D3914">
      <w:pPr>
        <w:rPr>
          <w:szCs w:val="20"/>
          <w:lang w:val="en-US"/>
        </w:rPr>
      </w:pPr>
      <w:r w:rsidRPr="001712B6">
        <w:rPr>
          <w:szCs w:val="20"/>
          <w:lang w:val="en-US"/>
        </w:rPr>
        <w:t>The objectives of the course are twofold. Firstly, to identify and to understand what happens</w:t>
      </w:r>
      <w:r w:rsidR="009278C7" w:rsidRPr="001712B6">
        <w:rPr>
          <w:szCs w:val="20"/>
          <w:lang w:val="en-US"/>
        </w:rPr>
        <w:t>,</w:t>
      </w:r>
      <w:r w:rsidRPr="001712B6">
        <w:rPr>
          <w:szCs w:val="20"/>
          <w:lang w:val="en-US"/>
        </w:rPr>
        <w:t xml:space="preserve"> in the external scenario </w:t>
      </w:r>
      <w:r w:rsidR="00A47813" w:rsidRPr="00B328B7">
        <w:rPr>
          <w:szCs w:val="20"/>
          <w:lang w:val="en-US"/>
        </w:rPr>
        <w:t xml:space="preserve">as well as </w:t>
      </w:r>
      <w:r w:rsidR="009136B1" w:rsidRPr="00B328B7">
        <w:rPr>
          <w:szCs w:val="20"/>
          <w:lang w:val="en-US"/>
        </w:rPr>
        <w:t>inside</w:t>
      </w:r>
      <w:r w:rsidR="00A47813" w:rsidRPr="00B328B7">
        <w:rPr>
          <w:szCs w:val="20"/>
          <w:lang w:val="en-US"/>
        </w:rPr>
        <w:t xml:space="preserve"> the organizations</w:t>
      </w:r>
      <w:r w:rsidR="009278C7" w:rsidRPr="001712B6">
        <w:rPr>
          <w:szCs w:val="20"/>
          <w:lang w:val="en-US"/>
        </w:rPr>
        <w:t xml:space="preserve">, </w:t>
      </w:r>
      <w:r w:rsidRPr="001712B6">
        <w:rPr>
          <w:szCs w:val="20"/>
          <w:lang w:val="en-US"/>
        </w:rPr>
        <w:t>and how it acts as a driver for the change, detailing also the ways the organizations approach the change process in terms of methodologies, resources and results. Secondly, to manage the human side of the change, both on personal basis (skills needed to live and manage the change) and on managerial basis (how to overcome resistances).</w:t>
      </w:r>
    </w:p>
    <w:p w14:paraId="57CB64B7" w14:textId="77777777" w:rsidR="007D3914" w:rsidRPr="001712B6" w:rsidRDefault="007D3914" w:rsidP="00515694">
      <w:pPr>
        <w:spacing w:before="120" w:line="276" w:lineRule="auto"/>
        <w:rPr>
          <w:szCs w:val="20"/>
          <w:lang w:val="en-US"/>
        </w:rPr>
      </w:pPr>
      <w:r w:rsidRPr="001712B6">
        <w:rPr>
          <w:szCs w:val="20"/>
          <w:lang w:val="en-US"/>
        </w:rPr>
        <w:t>At the end of the course, students will be able to:</w:t>
      </w:r>
    </w:p>
    <w:p w14:paraId="30E3A6D5" w14:textId="08B80AB5"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identify and interpret the theoretical and conceptual foundations helpful to understand how enterprises face significant changes, within the external scenario as well as inside the organization, and their relative reasons and drivers (knowledge);</w:t>
      </w:r>
    </w:p>
    <w:p w14:paraId="288417DE" w14:textId="177F7828"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develop the theoretical and conceptual knowledge on leading and managing sustainable change processes and projects, applied to local and global contexts, at both organization and individual levels (knowledge);</w:t>
      </w:r>
    </w:p>
    <w:p w14:paraId="6E9454FF" w14:textId="10314511"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proofErr w:type="spellStart"/>
      <w:r w:rsidRPr="001712B6">
        <w:rPr>
          <w:rFonts w:ascii="Times New Roman" w:hAnsi="Times New Roman" w:cs="Times New Roman"/>
          <w:sz w:val="20"/>
          <w:szCs w:val="20"/>
          <w:lang w:val="en-US"/>
        </w:rPr>
        <w:t>analyse</w:t>
      </w:r>
      <w:proofErr w:type="spellEnd"/>
      <w:r w:rsidRPr="001712B6">
        <w:rPr>
          <w:rFonts w:ascii="Times New Roman" w:hAnsi="Times New Roman" w:cs="Times New Roman"/>
          <w:sz w:val="20"/>
          <w:szCs w:val="20"/>
          <w:lang w:val="en-US"/>
        </w:rPr>
        <w:t>, interpret and discuss academic and empirical data and information and transform them into relevant and actionable knowledge on when, why and how it is necessary to change along the life of local and global organizations (intellectual skill);</w:t>
      </w:r>
    </w:p>
    <w:p w14:paraId="4B8DA110" w14:textId="4D3348EF"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apply valuable theoretical and conceptual knowledge on how to effectively manage and lead change programs and projects (practical skill);</w:t>
      </w:r>
    </w:p>
    <w:p w14:paraId="1368C858" w14:textId="0367505D"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develop critical understanding of individual reactions to change situations and make ethical decisions on how to lead them (transferable skill).</w:t>
      </w:r>
    </w:p>
    <w:p w14:paraId="2DA318F1" w14:textId="77777777" w:rsidR="001F6A84" w:rsidRPr="001712B6" w:rsidRDefault="001F6A84" w:rsidP="001F6A84">
      <w:pPr>
        <w:spacing w:before="240" w:after="120"/>
        <w:rPr>
          <w:b/>
          <w:i/>
          <w:sz w:val="18"/>
          <w:szCs w:val="18"/>
          <w:lang w:val="en-US"/>
        </w:rPr>
      </w:pPr>
      <w:r w:rsidRPr="001712B6">
        <w:rPr>
          <w:b/>
          <w:i/>
          <w:sz w:val="18"/>
          <w:szCs w:val="18"/>
          <w:lang w:val="en-US"/>
        </w:rPr>
        <w:t>COURSE CONTENT</w:t>
      </w:r>
    </w:p>
    <w:p w14:paraId="63E54039" w14:textId="41E22EE3" w:rsidR="007D3914" w:rsidRPr="001712B6" w:rsidRDefault="00C47351" w:rsidP="005B422A">
      <w:pPr>
        <w:spacing w:line="276" w:lineRule="auto"/>
        <w:rPr>
          <w:szCs w:val="20"/>
          <w:lang w:val="en-US"/>
        </w:rPr>
      </w:pPr>
      <w:r w:rsidRPr="001712B6">
        <w:rPr>
          <w:smallCaps/>
          <w:sz w:val="18"/>
          <w:szCs w:val="18"/>
          <w:lang w:val="en-US"/>
        </w:rPr>
        <w:t>Module 1</w:t>
      </w:r>
      <w:r w:rsidR="007D3914" w:rsidRPr="001712B6">
        <w:rPr>
          <w:smallCaps/>
          <w:sz w:val="18"/>
          <w:szCs w:val="18"/>
          <w:lang w:val="en-US"/>
        </w:rPr>
        <w:t xml:space="preserve"> - </w:t>
      </w:r>
      <w:r w:rsidR="007D3914" w:rsidRPr="001712B6">
        <w:rPr>
          <w:i/>
          <w:szCs w:val="20"/>
          <w:lang w:val="en-US"/>
        </w:rPr>
        <w:t>Managing change</w:t>
      </w:r>
      <w:r w:rsidR="007D3914" w:rsidRPr="001712B6">
        <w:rPr>
          <w:szCs w:val="20"/>
          <w:lang w:val="en-US"/>
        </w:rPr>
        <w:t xml:space="preserve"> (Prof. Giacomo Manara)</w:t>
      </w:r>
    </w:p>
    <w:p w14:paraId="6CDDC9A2" w14:textId="42AA3E03"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reasons and the drivers for change, external and internal.</w:t>
      </w:r>
    </w:p>
    <w:p w14:paraId="74AB07F7" w14:textId="1582ADC1" w:rsidR="00541974" w:rsidRPr="00B328B7" w:rsidRDefault="0066475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The personal approach to the change</w:t>
      </w:r>
    </w:p>
    <w:p w14:paraId="138D4085" w14:textId="71114158"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nature of organizational change.</w:t>
      </w:r>
    </w:p>
    <w:p w14:paraId="2CF0DAC0" w14:textId="15DD4B56"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How change emerges in organizations.</w:t>
      </w:r>
    </w:p>
    <w:p w14:paraId="2F04C693" w14:textId="550D847E" w:rsidR="007D3914" w:rsidRPr="001712B6" w:rsidRDefault="0066475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Which</w:t>
      </w:r>
      <w:r w:rsidR="007D3914" w:rsidRPr="001712B6">
        <w:rPr>
          <w:rFonts w:ascii="Times New Roman" w:hAnsi="Times New Roman" w:cs="Times New Roman"/>
          <w:sz w:val="20"/>
          <w:szCs w:val="20"/>
          <w:lang w:val="en-US"/>
        </w:rPr>
        <w:t xml:space="preserve"> organizational structures are </w:t>
      </w:r>
      <w:r w:rsidRPr="00B328B7">
        <w:rPr>
          <w:rFonts w:ascii="Times New Roman" w:hAnsi="Times New Roman" w:cs="Times New Roman"/>
          <w:sz w:val="20"/>
          <w:szCs w:val="20"/>
          <w:lang w:val="en-US"/>
        </w:rPr>
        <w:t>more cons</w:t>
      </w:r>
      <w:r w:rsidR="00610753" w:rsidRPr="00B328B7">
        <w:rPr>
          <w:rFonts w:ascii="Times New Roman" w:hAnsi="Times New Roman" w:cs="Times New Roman"/>
          <w:sz w:val="20"/>
          <w:szCs w:val="20"/>
          <w:lang w:val="en-US"/>
        </w:rPr>
        <w:t>istent</w:t>
      </w:r>
      <w:r w:rsidR="007D3914" w:rsidRPr="001712B6">
        <w:rPr>
          <w:rFonts w:ascii="Times New Roman" w:hAnsi="Times New Roman" w:cs="Times New Roman"/>
          <w:sz w:val="20"/>
          <w:szCs w:val="20"/>
          <w:lang w:val="en-US"/>
        </w:rPr>
        <w:t xml:space="preserve"> with change.</w:t>
      </w:r>
    </w:p>
    <w:p w14:paraId="6542D289" w14:textId="1F3C01BB"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Strategies of change and its management.</w:t>
      </w:r>
    </w:p>
    <w:p w14:paraId="73A63DBD" w14:textId="16FF69F1"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lastRenderedPageBreak/>
        <w:t>Successful processes and projects of organization change: hard and soft systems models for change.</w:t>
      </w:r>
    </w:p>
    <w:p w14:paraId="4B9B80BB" w14:textId="2FA4EA50"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Sustainable change implementation and its performance.</w:t>
      </w:r>
    </w:p>
    <w:p w14:paraId="27A6768D" w14:textId="60795BA2"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impact of sustainable change on organizations and work environments.</w:t>
      </w:r>
    </w:p>
    <w:p w14:paraId="2C81E146" w14:textId="77777777" w:rsidR="00B328B7" w:rsidRPr="00B328B7" w:rsidRDefault="00B328B7" w:rsidP="00B328B7">
      <w:pPr>
        <w:pStyle w:val="Corpotesto"/>
        <w:spacing w:line="276" w:lineRule="auto"/>
        <w:ind w:left="284"/>
        <w:rPr>
          <w:rFonts w:ascii="Times New Roman" w:hAnsi="Times New Roman" w:cs="Times New Roman"/>
          <w:strike/>
          <w:sz w:val="20"/>
          <w:szCs w:val="20"/>
          <w:lang w:val="en-US"/>
        </w:rPr>
      </w:pPr>
    </w:p>
    <w:p w14:paraId="3A11081C" w14:textId="03FC8409" w:rsidR="007D3914" w:rsidRPr="00B328B7" w:rsidRDefault="007D3914" w:rsidP="00B328B7">
      <w:pPr>
        <w:pStyle w:val="Corpotesto"/>
        <w:spacing w:before="120" w:line="276" w:lineRule="auto"/>
        <w:rPr>
          <w:rFonts w:ascii="Times New Roman" w:hAnsi="Times New Roman" w:cs="Times New Roman"/>
          <w:sz w:val="20"/>
          <w:szCs w:val="20"/>
          <w:lang w:val="en-US"/>
        </w:rPr>
      </w:pPr>
      <w:r w:rsidRPr="006C25F1">
        <w:rPr>
          <w:rFonts w:ascii="Times New Roman" w:hAnsi="Times New Roman" w:cs="Times New Roman"/>
          <w:smallCaps/>
          <w:lang w:val="en-US"/>
        </w:rPr>
        <w:t xml:space="preserve">Module 2 </w:t>
      </w:r>
      <w:r w:rsidRPr="00B328B7">
        <w:rPr>
          <w:rFonts w:ascii="Times New Roman" w:hAnsi="Times New Roman" w:cs="Times New Roman"/>
          <w:smallCaps/>
          <w:sz w:val="20"/>
          <w:szCs w:val="20"/>
          <w:lang w:val="en-US"/>
        </w:rPr>
        <w:t xml:space="preserve">- </w:t>
      </w:r>
      <w:r w:rsidRPr="00B328B7">
        <w:rPr>
          <w:rFonts w:ascii="Times New Roman" w:hAnsi="Times New Roman" w:cs="Times New Roman"/>
          <w:i/>
          <w:sz w:val="20"/>
          <w:szCs w:val="20"/>
          <w:lang w:val="en-US"/>
        </w:rPr>
        <w:t>Leading people to change</w:t>
      </w:r>
      <w:r w:rsidRPr="00B328B7">
        <w:rPr>
          <w:rFonts w:ascii="Times New Roman" w:hAnsi="Times New Roman" w:cs="Times New Roman"/>
          <w:sz w:val="20"/>
          <w:szCs w:val="20"/>
          <w:lang w:val="en-US"/>
        </w:rPr>
        <w:t xml:space="preserve"> (Prof. Francisco J. Lara)</w:t>
      </w:r>
    </w:p>
    <w:p w14:paraId="3A70E986" w14:textId="761D88BB" w:rsidR="007D3914" w:rsidRPr="00B328B7"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Social identity of the organizational system: how to investigate it.</w:t>
      </w:r>
    </w:p>
    <w:p w14:paraId="18BB7ADF" w14:textId="12AE83E1" w:rsidR="007D3914" w:rsidRPr="00B328B7"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Individual dimensions of the change process.</w:t>
      </w:r>
    </w:p>
    <w:p w14:paraId="6B657189" w14:textId="1DAF683B"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B328B7">
        <w:rPr>
          <w:rFonts w:ascii="Times New Roman" w:hAnsi="Times New Roman" w:cs="Times New Roman"/>
          <w:sz w:val="20"/>
          <w:szCs w:val="20"/>
          <w:lang w:val="en-US"/>
        </w:rPr>
        <w:t>Individual</w:t>
      </w:r>
      <w:r w:rsidRPr="001712B6">
        <w:rPr>
          <w:rFonts w:ascii="Times New Roman" w:hAnsi="Times New Roman" w:cs="Times New Roman"/>
          <w:sz w:val="20"/>
          <w:szCs w:val="20"/>
          <w:lang w:val="en-US"/>
        </w:rPr>
        <w:t xml:space="preserve"> reactions to the change process.</w:t>
      </w:r>
    </w:p>
    <w:p w14:paraId="2DC17B46" w14:textId="0FA2B0E8"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Group dynamics in changing.</w:t>
      </w:r>
    </w:p>
    <w:p w14:paraId="72A2F27C" w14:textId="3D5625C4"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The leadership of the change and the managers involved.</w:t>
      </w:r>
    </w:p>
    <w:p w14:paraId="703D78E1" w14:textId="189BD305" w:rsidR="007D3914" w:rsidRPr="001712B6" w:rsidRDefault="007D3914" w:rsidP="005B422A">
      <w:pPr>
        <w:pStyle w:val="Corpotesto"/>
        <w:numPr>
          <w:ilvl w:val="0"/>
          <w:numId w:val="2"/>
        </w:numPr>
        <w:spacing w:line="276" w:lineRule="auto"/>
        <w:ind w:left="284" w:hanging="284"/>
        <w:rPr>
          <w:rFonts w:ascii="Times New Roman" w:hAnsi="Times New Roman" w:cs="Times New Roman"/>
          <w:sz w:val="20"/>
          <w:szCs w:val="20"/>
          <w:lang w:val="en-US"/>
        </w:rPr>
      </w:pPr>
      <w:r w:rsidRPr="001712B6">
        <w:rPr>
          <w:rFonts w:ascii="Times New Roman" w:hAnsi="Times New Roman" w:cs="Times New Roman"/>
          <w:sz w:val="20"/>
          <w:szCs w:val="20"/>
          <w:lang w:val="en-US"/>
        </w:rPr>
        <w:t>Learning process, change, monitoring.</w:t>
      </w:r>
    </w:p>
    <w:p w14:paraId="1E3A8056" w14:textId="35FFBBC5" w:rsidR="001F6A84" w:rsidRPr="001712B6" w:rsidRDefault="001F6A84" w:rsidP="001F6A84">
      <w:pPr>
        <w:spacing w:before="240" w:after="120"/>
        <w:rPr>
          <w:b/>
          <w:i/>
          <w:sz w:val="18"/>
          <w:szCs w:val="18"/>
          <w:lang w:val="en-US"/>
        </w:rPr>
      </w:pPr>
      <w:r w:rsidRPr="001712B6">
        <w:rPr>
          <w:b/>
          <w:i/>
          <w:sz w:val="18"/>
          <w:szCs w:val="18"/>
          <w:lang w:val="en-US"/>
        </w:rPr>
        <w:t>READING LIST</w:t>
      </w:r>
      <w:r w:rsidR="00C55553" w:rsidRPr="001712B6">
        <w:rPr>
          <w:rStyle w:val="Rimandonotaapidipagina"/>
          <w:b/>
          <w:i/>
          <w:sz w:val="18"/>
          <w:szCs w:val="18"/>
          <w:lang w:val="en-US"/>
        </w:rPr>
        <w:footnoteReference w:id="1"/>
      </w:r>
    </w:p>
    <w:p w14:paraId="1AC40C1A" w14:textId="77777777" w:rsidR="002A1382" w:rsidRPr="001712B6" w:rsidRDefault="002A1382" w:rsidP="005B422A">
      <w:pPr>
        <w:spacing w:line="276" w:lineRule="auto"/>
        <w:rPr>
          <w:i/>
          <w:iCs/>
          <w:sz w:val="18"/>
          <w:szCs w:val="18"/>
          <w:lang w:val="en-US"/>
        </w:rPr>
      </w:pPr>
      <w:r w:rsidRPr="001712B6">
        <w:rPr>
          <w:i/>
          <w:iCs/>
          <w:sz w:val="18"/>
          <w:szCs w:val="18"/>
          <w:lang w:val="en-US"/>
        </w:rPr>
        <w:t>Required readings</w:t>
      </w:r>
    </w:p>
    <w:p w14:paraId="26D2027A" w14:textId="13B4592C" w:rsidR="005B422A" w:rsidRPr="001712B6" w:rsidRDefault="005B422A" w:rsidP="005B422A">
      <w:pPr>
        <w:pStyle w:val="Testo1"/>
        <w:spacing w:before="0" w:line="276" w:lineRule="auto"/>
        <w:rPr>
          <w:rFonts w:ascii="Times New Roman" w:eastAsia="Times" w:hAnsi="Times New Roman"/>
          <w:szCs w:val="18"/>
          <w:lang w:val="en-US"/>
        </w:rPr>
      </w:pPr>
      <w:r w:rsidRPr="001712B6">
        <w:rPr>
          <w:rFonts w:ascii="Times New Roman" w:hAnsi="Times New Roman"/>
          <w:smallCaps/>
          <w:spacing w:val="-5"/>
          <w:szCs w:val="18"/>
          <w:lang w:val="en-US"/>
        </w:rPr>
        <w:t xml:space="preserve">G.Manara </w:t>
      </w:r>
      <w:r w:rsidRPr="001712B6">
        <w:rPr>
          <w:rFonts w:ascii="Times New Roman" w:hAnsi="Times New Roman"/>
          <w:noProof w:val="0"/>
          <w:szCs w:val="18"/>
          <w:lang w:val="en-US"/>
        </w:rPr>
        <w:t>(by)</w:t>
      </w:r>
      <w:r w:rsidRPr="001712B6">
        <w:rPr>
          <w:rFonts w:ascii="Times New Roman" w:eastAsia="Times" w:hAnsi="Times New Roman"/>
          <w:smallCaps/>
          <w:szCs w:val="18"/>
          <w:lang w:val="en-US"/>
        </w:rPr>
        <w:t xml:space="preserve">, </w:t>
      </w:r>
      <w:r w:rsidRPr="001712B6">
        <w:rPr>
          <w:rFonts w:ascii="Times New Roman" w:eastAsia="Times" w:hAnsi="Times New Roman"/>
          <w:i/>
          <w:szCs w:val="18"/>
          <w:lang w:val="en-US"/>
        </w:rPr>
        <w:t xml:space="preserve">Change Management, </w:t>
      </w:r>
      <w:r w:rsidRPr="001712B6">
        <w:rPr>
          <w:rFonts w:ascii="Times New Roman" w:eastAsia="Times" w:hAnsi="Times New Roman"/>
          <w:szCs w:val="18"/>
          <w:lang w:val="en-US"/>
        </w:rPr>
        <w:t>Pearson Textbuilder, 2019.</w:t>
      </w:r>
      <w:r w:rsidR="00421A0C">
        <w:rPr>
          <w:rFonts w:ascii="Times New Roman" w:eastAsia="Times" w:hAnsi="Times New Roman"/>
          <w:szCs w:val="18"/>
          <w:lang w:val="en-US"/>
        </w:rPr>
        <w:t xml:space="preserve"> </w:t>
      </w:r>
      <w:r w:rsidR="00EE7D81">
        <w:rPr>
          <w:rFonts w:ascii="Times New Roman" w:eastAsia="Times" w:hAnsi="Times New Roman"/>
          <w:szCs w:val="18"/>
          <w:lang w:val="en-US"/>
        </w:rPr>
        <w:t xml:space="preserve"> </w:t>
      </w:r>
      <w:hyperlink r:id="rId9" w:history="1">
        <w:r w:rsidR="00EE7D81" w:rsidRPr="00EE7D81">
          <w:rPr>
            <w:rStyle w:val="Collegamentoipertestuale"/>
            <w:rFonts w:ascii="Times New Roman" w:hAnsi="Times New Roman"/>
            <w:i/>
            <w:sz w:val="16"/>
            <w:szCs w:val="16"/>
          </w:rPr>
          <w:t>Acquista da VP</w:t>
        </w:r>
      </w:hyperlink>
      <w:bookmarkStart w:id="0" w:name="_GoBack"/>
      <w:bookmarkEnd w:id="0"/>
    </w:p>
    <w:p w14:paraId="61B5C5FB" w14:textId="77777777" w:rsidR="005B422A" w:rsidRPr="001712B6" w:rsidRDefault="005B422A" w:rsidP="005B422A">
      <w:pPr>
        <w:pStyle w:val="Testo1"/>
        <w:spacing w:before="0" w:line="276" w:lineRule="auto"/>
        <w:rPr>
          <w:rFonts w:ascii="Times New Roman" w:eastAsia="Times" w:hAnsi="Times New Roman"/>
          <w:szCs w:val="18"/>
          <w:lang w:val="en-US"/>
        </w:rPr>
      </w:pPr>
      <w:r w:rsidRPr="001712B6">
        <w:rPr>
          <w:rFonts w:ascii="Times New Roman" w:eastAsia="Times" w:hAnsi="Times New Roman"/>
          <w:smallCaps/>
          <w:szCs w:val="18"/>
          <w:lang w:val="en-US"/>
        </w:rPr>
        <w:t xml:space="preserve">F.J. Lara, </w:t>
      </w:r>
      <w:r w:rsidRPr="001712B6">
        <w:rPr>
          <w:rFonts w:ascii="Times New Roman" w:eastAsia="Times" w:hAnsi="Times New Roman"/>
          <w:i/>
          <w:szCs w:val="18"/>
          <w:lang w:val="en-US"/>
        </w:rPr>
        <w:t>Basic Approaches to Leadership</w:t>
      </w:r>
      <w:r w:rsidRPr="001712B6">
        <w:rPr>
          <w:rFonts w:ascii="Times New Roman" w:eastAsia="Times" w:hAnsi="Times New Roman"/>
          <w:szCs w:val="18"/>
          <w:lang w:val="en-US"/>
        </w:rPr>
        <w:t>, Palgrave McMillan, 2014.</w:t>
      </w:r>
    </w:p>
    <w:p w14:paraId="157908DA" w14:textId="77777777" w:rsidR="005B422A" w:rsidRPr="001712B6" w:rsidRDefault="005B422A" w:rsidP="005B422A">
      <w:pPr>
        <w:pStyle w:val="Testo1"/>
        <w:spacing w:before="0" w:line="276" w:lineRule="auto"/>
        <w:rPr>
          <w:rFonts w:ascii="Times New Roman" w:eastAsia="Times" w:hAnsi="Times New Roman"/>
          <w:szCs w:val="18"/>
          <w:lang w:val="en-US"/>
        </w:rPr>
      </w:pPr>
      <w:r w:rsidRPr="001712B6">
        <w:rPr>
          <w:rFonts w:ascii="Times New Roman" w:eastAsia="Times" w:hAnsi="Times New Roman"/>
          <w:szCs w:val="18"/>
          <w:lang w:val="en-US"/>
        </w:rPr>
        <w:t xml:space="preserve">Readings and other course materials available electronically via </w:t>
      </w:r>
      <w:r w:rsidRPr="001712B6">
        <w:rPr>
          <w:rFonts w:ascii="Times New Roman" w:eastAsia="Times" w:hAnsi="Times New Roman"/>
          <w:i/>
          <w:szCs w:val="18"/>
          <w:lang w:val="en-US"/>
        </w:rPr>
        <w:t>Blackboard</w:t>
      </w:r>
      <w:r w:rsidRPr="001712B6">
        <w:rPr>
          <w:rFonts w:ascii="Times New Roman" w:eastAsia="Times" w:hAnsi="Times New Roman"/>
          <w:szCs w:val="18"/>
          <w:lang w:val="en-US"/>
        </w:rPr>
        <w:t xml:space="preserve"> online system.</w:t>
      </w:r>
    </w:p>
    <w:p w14:paraId="0A488813" w14:textId="77777777" w:rsidR="001F6A84" w:rsidRPr="001712B6" w:rsidRDefault="001F6A84" w:rsidP="001F6A84">
      <w:pPr>
        <w:spacing w:before="240" w:after="120" w:line="220" w:lineRule="exact"/>
        <w:rPr>
          <w:b/>
          <w:i/>
          <w:sz w:val="18"/>
          <w:szCs w:val="18"/>
          <w:lang w:val="en-US"/>
        </w:rPr>
      </w:pPr>
      <w:r w:rsidRPr="001712B6">
        <w:rPr>
          <w:b/>
          <w:i/>
          <w:sz w:val="18"/>
          <w:szCs w:val="18"/>
          <w:lang w:val="en-US"/>
        </w:rPr>
        <w:t>TEACHING METHOD</w:t>
      </w:r>
    </w:p>
    <w:p w14:paraId="0448F48D" w14:textId="77777777" w:rsidR="005B422A" w:rsidRPr="001712B6" w:rsidRDefault="005B422A" w:rsidP="005B422A">
      <w:pPr>
        <w:pStyle w:val="Testo2"/>
        <w:spacing w:line="276" w:lineRule="auto"/>
        <w:rPr>
          <w:rFonts w:ascii="Times New Roman" w:hAnsi="Times New Roman"/>
          <w:szCs w:val="18"/>
          <w:lang w:val="en-US"/>
        </w:rPr>
      </w:pPr>
      <w:r w:rsidRPr="001712B6">
        <w:rPr>
          <w:rFonts w:ascii="Times New Roman" w:hAnsi="Times New Roman"/>
          <w:szCs w:val="18"/>
          <w:lang w:val="en-US"/>
        </w:rPr>
        <w:t>Throughout the course a variety of teaching methods is used to encourage active learning. We combine formal and interactive teaching with projects, audiovisuals, role-plays, simulations, case histories, managers and entrepreneurs’ speeches. Blackboard online system will be intensively used for uploading the materials as well as for interacting with students. Specific coursework assignments are requested to attendees. Coursework assignments may include writing essays and reports, as well as group projects.</w:t>
      </w:r>
    </w:p>
    <w:p w14:paraId="58B57E73" w14:textId="77777777" w:rsidR="001F6A84" w:rsidRPr="001712B6" w:rsidRDefault="001F6A84" w:rsidP="001F6A84">
      <w:pPr>
        <w:spacing w:before="240" w:after="120" w:line="220" w:lineRule="exact"/>
        <w:rPr>
          <w:b/>
          <w:i/>
          <w:sz w:val="18"/>
          <w:szCs w:val="18"/>
          <w:lang w:val="en-US"/>
        </w:rPr>
      </w:pPr>
      <w:r w:rsidRPr="001712B6">
        <w:rPr>
          <w:b/>
          <w:i/>
          <w:sz w:val="18"/>
          <w:szCs w:val="18"/>
          <w:lang w:val="en-US"/>
        </w:rPr>
        <w:t>ASSESSMENT METHOD AND CRITERIA</w:t>
      </w:r>
    </w:p>
    <w:p w14:paraId="0ADE84C6" w14:textId="6FDB84E4" w:rsidR="002A1382" w:rsidRPr="001712B6" w:rsidRDefault="002A1382" w:rsidP="002A1382">
      <w:pPr>
        <w:pStyle w:val="Testo2"/>
        <w:ind w:firstLine="0"/>
        <w:rPr>
          <w:rFonts w:ascii="Times New Roman" w:hAnsi="Times New Roman"/>
          <w:szCs w:val="18"/>
          <w:lang w:val="en-US"/>
        </w:rPr>
      </w:pPr>
      <w:r w:rsidRPr="001712B6">
        <w:rPr>
          <w:rFonts w:ascii="Times New Roman" w:hAnsi="Times New Roman"/>
          <w:szCs w:val="18"/>
          <w:lang w:val="en-US"/>
        </w:rPr>
        <w:tab/>
        <w:t>Students can choose between a multiple assessment route and a single assessment route.</w:t>
      </w:r>
    </w:p>
    <w:p w14:paraId="12CF8B69" w14:textId="2B774594" w:rsidR="002A1382" w:rsidRPr="001712B6" w:rsidRDefault="002A1382" w:rsidP="002A1382">
      <w:pPr>
        <w:pStyle w:val="Testo2"/>
        <w:ind w:firstLine="0"/>
        <w:rPr>
          <w:rFonts w:ascii="Times New Roman" w:hAnsi="Times New Roman"/>
          <w:i/>
          <w:iCs/>
          <w:szCs w:val="18"/>
          <w:lang w:val="en-US"/>
        </w:rPr>
      </w:pPr>
      <w:r w:rsidRPr="001712B6">
        <w:rPr>
          <w:rFonts w:ascii="Times New Roman" w:hAnsi="Times New Roman"/>
          <w:i/>
          <w:iCs/>
          <w:szCs w:val="18"/>
          <w:lang w:val="en-US"/>
        </w:rPr>
        <w:t>Multiple assessment route</w:t>
      </w:r>
    </w:p>
    <w:p w14:paraId="6CE5CFB2" w14:textId="23009F32"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Students in the first module (</w:t>
      </w:r>
      <w:r w:rsidR="00AE1BA8" w:rsidRPr="00421A0C">
        <w:rPr>
          <w:rFonts w:ascii="Times New Roman" w:hAnsi="Times New Roman"/>
          <w:szCs w:val="18"/>
          <w:lang w:val="en-US"/>
        </w:rPr>
        <w:t>5</w:t>
      </w:r>
      <w:r w:rsidRPr="00421A0C">
        <w:rPr>
          <w:rFonts w:ascii="Times New Roman" w:hAnsi="Times New Roman"/>
          <w:szCs w:val="18"/>
          <w:lang w:val="en-US"/>
        </w:rPr>
        <w:t>0%</w:t>
      </w:r>
      <w:r w:rsidRPr="001712B6">
        <w:rPr>
          <w:rFonts w:ascii="Times New Roman" w:hAnsi="Times New Roman"/>
          <w:szCs w:val="18"/>
          <w:lang w:val="en-US"/>
        </w:rPr>
        <w:t xml:space="preserve"> of the final mark) are evaluated through:</w:t>
      </w:r>
    </w:p>
    <w:p w14:paraId="475DE09E" w14:textId="7D6AAEFE" w:rsidR="005A63BC" w:rsidRPr="001712B6" w:rsidRDefault="00C02D48" w:rsidP="005A63BC">
      <w:pPr>
        <w:pStyle w:val="Corpotesto"/>
        <w:numPr>
          <w:ilvl w:val="0"/>
          <w:numId w:val="2"/>
        </w:numPr>
        <w:spacing w:line="276" w:lineRule="auto"/>
        <w:ind w:left="284" w:hanging="284"/>
        <w:rPr>
          <w:rFonts w:ascii="Times New Roman" w:hAnsi="Times New Roman" w:cs="Times New Roman"/>
          <w:lang w:val="en-US"/>
        </w:rPr>
      </w:pPr>
      <w:r w:rsidRPr="00421A0C">
        <w:rPr>
          <w:rFonts w:ascii="Times New Roman" w:hAnsi="Times New Roman" w:cs="Times New Roman"/>
          <w:lang w:val="en-US"/>
        </w:rPr>
        <w:t>O</w:t>
      </w:r>
      <w:r w:rsidR="00C94CC2" w:rsidRPr="00421A0C">
        <w:rPr>
          <w:rFonts w:ascii="Times New Roman" w:hAnsi="Times New Roman" w:cs="Times New Roman"/>
          <w:lang w:val="en-US"/>
        </w:rPr>
        <w:t>ne</w:t>
      </w:r>
      <w:r w:rsidRPr="00421A0C">
        <w:rPr>
          <w:rFonts w:ascii="Times New Roman" w:hAnsi="Times New Roman" w:cs="Times New Roman"/>
          <w:lang w:val="en-US"/>
        </w:rPr>
        <w:t xml:space="preserve"> final</w:t>
      </w:r>
      <w:r w:rsidR="005A63BC" w:rsidRPr="001712B6">
        <w:rPr>
          <w:rFonts w:ascii="Times New Roman" w:hAnsi="Times New Roman" w:cs="Times New Roman"/>
          <w:lang w:val="en-US"/>
        </w:rPr>
        <w:t xml:space="preserve"> written test (counting for </w:t>
      </w:r>
      <w:r w:rsidRPr="00421A0C">
        <w:rPr>
          <w:rFonts w:ascii="Times New Roman" w:hAnsi="Times New Roman" w:cs="Times New Roman"/>
          <w:lang w:val="en-US"/>
        </w:rPr>
        <w:t>75</w:t>
      </w:r>
      <w:r w:rsidR="005A63BC" w:rsidRPr="00421A0C">
        <w:rPr>
          <w:rFonts w:ascii="Times New Roman" w:hAnsi="Times New Roman" w:cs="Times New Roman"/>
          <w:lang w:val="en-US"/>
        </w:rPr>
        <w:t>%</w:t>
      </w:r>
      <w:r w:rsidR="005A63BC" w:rsidRPr="001712B6">
        <w:rPr>
          <w:rFonts w:ascii="Times New Roman" w:hAnsi="Times New Roman" w:cs="Times New Roman"/>
          <w:lang w:val="en-US"/>
        </w:rPr>
        <w:t xml:space="preserve"> of the module 1 mark). </w:t>
      </w:r>
      <w:r w:rsidR="001122F2" w:rsidRPr="00421A0C">
        <w:rPr>
          <w:rFonts w:ascii="Times New Roman" w:hAnsi="Times New Roman" w:cs="Times New Roman"/>
          <w:lang w:val="en-US"/>
        </w:rPr>
        <w:t>It</w:t>
      </w:r>
      <w:r w:rsidR="005A63BC" w:rsidRPr="001712B6">
        <w:rPr>
          <w:rFonts w:ascii="Times New Roman" w:hAnsi="Times New Roman" w:cs="Times New Roman"/>
          <w:lang w:val="en-US"/>
        </w:rPr>
        <w:t xml:space="preserve"> includes 2 open questions (each one counting for 25% of the test grade) and 1 short business case (50% of the test grade). The </w:t>
      </w:r>
      <w:r w:rsidR="005A63BC" w:rsidRPr="00421A0C">
        <w:rPr>
          <w:rFonts w:ascii="Times New Roman" w:hAnsi="Times New Roman" w:cs="Times New Roman"/>
          <w:lang w:val="en-US"/>
        </w:rPr>
        <w:t>test</w:t>
      </w:r>
      <w:r w:rsidR="001122F2" w:rsidRPr="00421A0C">
        <w:rPr>
          <w:rFonts w:ascii="Times New Roman" w:hAnsi="Times New Roman" w:cs="Times New Roman"/>
          <w:lang w:val="en-US"/>
        </w:rPr>
        <w:t xml:space="preserve"> is</w:t>
      </w:r>
      <w:r w:rsidR="005A63BC" w:rsidRPr="001712B6">
        <w:rPr>
          <w:rFonts w:ascii="Times New Roman" w:hAnsi="Times New Roman" w:cs="Times New Roman"/>
          <w:lang w:val="en-US"/>
        </w:rPr>
        <w:t xml:space="preserve"> scheduled at the end of module 1;</w:t>
      </w:r>
    </w:p>
    <w:p w14:paraId="777ED819" w14:textId="00C837CC"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lastRenderedPageBreak/>
        <w:t>a group assignment (</w:t>
      </w:r>
      <w:r w:rsidR="00092E39" w:rsidRPr="001712B6">
        <w:rPr>
          <w:rFonts w:ascii="Times New Roman" w:hAnsi="Times New Roman" w:cs="Times New Roman"/>
          <w:lang w:val="en-US"/>
        </w:rPr>
        <w:t>25</w:t>
      </w:r>
      <w:r w:rsidRPr="001712B6">
        <w:rPr>
          <w:rFonts w:ascii="Times New Roman" w:hAnsi="Times New Roman" w:cs="Times New Roman"/>
          <w:lang w:val="en-US"/>
        </w:rPr>
        <w:t>% of the module 1 grade) aimed at delivering a proposal of a specific projet regarding how to manage a change in a given company</w:t>
      </w:r>
      <w:r w:rsidR="0000583D" w:rsidRPr="00421A0C">
        <w:rPr>
          <w:rFonts w:ascii="Times New Roman" w:hAnsi="Times New Roman" w:cs="Times New Roman"/>
          <w:lang w:val="en-US"/>
        </w:rPr>
        <w:t>, also scheduled at the end of the module</w:t>
      </w:r>
      <w:r w:rsidRPr="001712B6">
        <w:rPr>
          <w:rFonts w:ascii="Times New Roman" w:hAnsi="Times New Roman" w:cs="Times New Roman"/>
          <w:lang w:val="en-US"/>
        </w:rPr>
        <w:t>;</w:t>
      </w:r>
    </w:p>
    <w:p w14:paraId="58353AF4" w14:textId="77777777"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t>the module 1 grade may be improved by class participation allowing students to receive an overall score ranging from -1 to +2.</w:t>
      </w:r>
    </w:p>
    <w:p w14:paraId="295F1ED6" w14:textId="00617003"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Students in the second module (</w:t>
      </w:r>
      <w:r w:rsidR="0000583D" w:rsidRPr="00421A0C">
        <w:rPr>
          <w:rFonts w:ascii="Times New Roman" w:hAnsi="Times New Roman"/>
          <w:szCs w:val="18"/>
          <w:lang w:val="en-US"/>
        </w:rPr>
        <w:t>5</w:t>
      </w:r>
      <w:r w:rsidR="00271198" w:rsidRPr="00421A0C">
        <w:rPr>
          <w:rFonts w:ascii="Times New Roman" w:hAnsi="Times New Roman"/>
          <w:szCs w:val="18"/>
          <w:lang w:val="en-US"/>
        </w:rPr>
        <w:t>0</w:t>
      </w:r>
      <w:r w:rsidRPr="00421A0C">
        <w:rPr>
          <w:rFonts w:ascii="Times New Roman" w:hAnsi="Times New Roman"/>
          <w:szCs w:val="18"/>
          <w:lang w:val="en-US"/>
        </w:rPr>
        <w:t>%</w:t>
      </w:r>
      <w:r w:rsidRPr="001712B6">
        <w:rPr>
          <w:rFonts w:ascii="Times New Roman" w:hAnsi="Times New Roman"/>
          <w:szCs w:val="18"/>
          <w:lang w:val="en-US"/>
        </w:rPr>
        <w:t xml:space="preserve"> of the final mark) are evaluated through:</w:t>
      </w:r>
    </w:p>
    <w:p w14:paraId="412EB1F6" w14:textId="1C113858"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t>a final written test (</w:t>
      </w:r>
      <w:r w:rsidR="004E3BDE" w:rsidRPr="00421A0C">
        <w:rPr>
          <w:rFonts w:ascii="Times New Roman" w:hAnsi="Times New Roman" w:cs="Times New Roman"/>
          <w:lang w:val="en-US"/>
        </w:rPr>
        <w:t>4</w:t>
      </w:r>
      <w:r w:rsidR="00271198" w:rsidRPr="00421A0C">
        <w:rPr>
          <w:rFonts w:ascii="Times New Roman" w:hAnsi="Times New Roman" w:cs="Times New Roman"/>
          <w:lang w:val="en-US"/>
        </w:rPr>
        <w:t>0</w:t>
      </w:r>
      <w:r w:rsidRPr="001712B6">
        <w:rPr>
          <w:rFonts w:ascii="Times New Roman" w:hAnsi="Times New Roman" w:cs="Times New Roman"/>
          <w:lang w:val="en-US"/>
        </w:rPr>
        <w:t xml:space="preserve">% of the module 2 grade), composed </w:t>
      </w:r>
      <w:r w:rsidR="00271198" w:rsidRPr="001712B6">
        <w:rPr>
          <w:rFonts w:ascii="Times New Roman" w:hAnsi="Times New Roman" w:cs="Times New Roman"/>
          <w:lang w:val="en-US"/>
        </w:rPr>
        <w:t>of</w:t>
      </w:r>
      <w:r w:rsidRPr="001712B6">
        <w:rPr>
          <w:rFonts w:ascii="Times New Roman" w:hAnsi="Times New Roman" w:cs="Times New Roman"/>
          <w:lang w:val="en-US"/>
        </w:rPr>
        <w:t xml:space="preserve"> 20 True or False questions; the final test is scheduled at the end of module 2;</w:t>
      </w:r>
    </w:p>
    <w:p w14:paraId="376E0961" w14:textId="71CD98CF"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t>a group assignment (</w:t>
      </w:r>
      <w:r w:rsidR="00421A0C">
        <w:rPr>
          <w:rFonts w:ascii="Times New Roman" w:hAnsi="Times New Roman" w:cs="Times New Roman"/>
          <w:lang w:val="en-US"/>
        </w:rPr>
        <w:t>6</w:t>
      </w:r>
      <w:r w:rsidRPr="001712B6">
        <w:rPr>
          <w:rFonts w:ascii="Times New Roman" w:hAnsi="Times New Roman" w:cs="Times New Roman"/>
          <w:lang w:val="en-US"/>
        </w:rPr>
        <w:t>0% of the module 2 grade) aimed at delivering, presenting and discussing a written proposal of a specific project regarding how to lead people to change in a given company, which will be also presented and discussed</w:t>
      </w:r>
      <w:r w:rsidR="00633B24">
        <w:rPr>
          <w:rFonts w:ascii="Times New Roman" w:hAnsi="Times New Roman" w:cs="Times New Roman"/>
          <w:lang w:val="en-US"/>
        </w:rPr>
        <w:t>.</w:t>
      </w:r>
      <w:r w:rsidRPr="001712B6">
        <w:rPr>
          <w:rFonts w:ascii="Times New Roman" w:hAnsi="Times New Roman" w:cs="Times New Roman"/>
          <w:lang w:val="en-US"/>
        </w:rPr>
        <w:t xml:space="preserve"> </w:t>
      </w:r>
    </w:p>
    <w:p w14:paraId="79D685F1" w14:textId="77777777"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 xml:space="preserve">For a PASS in the multiple assessment route, the following conditions must be met: (i) each component of the assessment path is mandatory; (ii) the grade received in each component must greater than or equal to 18. Students who do not pass the multiple assessment route are evaluated according to the single assessment route. Even though attendance is not mandatory for a PASS in the multiple assessment route, it is strongly recommended. </w:t>
      </w:r>
    </w:p>
    <w:p w14:paraId="75925FEE" w14:textId="294D022F" w:rsidR="002A1382" w:rsidRPr="001712B6" w:rsidRDefault="002A1382" w:rsidP="002A1382">
      <w:pPr>
        <w:pStyle w:val="Testo2"/>
        <w:ind w:firstLine="0"/>
        <w:rPr>
          <w:rFonts w:ascii="Times New Roman" w:hAnsi="Times New Roman"/>
          <w:i/>
          <w:iCs/>
          <w:szCs w:val="18"/>
          <w:lang w:val="en-US"/>
        </w:rPr>
      </w:pPr>
      <w:r w:rsidRPr="001712B6">
        <w:rPr>
          <w:rFonts w:ascii="Times New Roman" w:hAnsi="Times New Roman"/>
          <w:i/>
          <w:iCs/>
          <w:szCs w:val="18"/>
          <w:lang w:val="en-US"/>
        </w:rPr>
        <w:t>Single assessment route</w:t>
      </w:r>
    </w:p>
    <w:p w14:paraId="0C373A38" w14:textId="5F6DBAA5"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The exam consists of:</w:t>
      </w:r>
    </w:p>
    <w:p w14:paraId="3DC11E5B" w14:textId="68E95467" w:rsidR="005A63BC" w:rsidRPr="001712B6" w:rsidRDefault="00421A0C" w:rsidP="005A63BC">
      <w:pPr>
        <w:pStyle w:val="Corpotesto"/>
        <w:numPr>
          <w:ilvl w:val="0"/>
          <w:numId w:val="2"/>
        </w:numPr>
        <w:spacing w:line="276" w:lineRule="auto"/>
        <w:ind w:left="284" w:hanging="284"/>
        <w:rPr>
          <w:rFonts w:ascii="Times New Roman" w:hAnsi="Times New Roman" w:cs="Times New Roman"/>
          <w:lang w:val="en-US"/>
        </w:rPr>
      </w:pPr>
      <w:r>
        <w:rPr>
          <w:rFonts w:ascii="Times New Roman" w:hAnsi="Times New Roman" w:cs="Times New Roman"/>
          <w:lang w:val="en-US"/>
        </w:rPr>
        <w:t xml:space="preserve">written </w:t>
      </w:r>
      <w:r w:rsidR="005A63BC" w:rsidRPr="001712B6">
        <w:rPr>
          <w:rFonts w:ascii="Times New Roman" w:hAnsi="Times New Roman" w:cs="Times New Roman"/>
          <w:lang w:val="en-US"/>
        </w:rPr>
        <w:t>open questions, which will be assessed during an oral exam  (40% of the final grade); open questions are used to assess the intended knowledge outcomes;</w:t>
      </w:r>
    </w:p>
    <w:p w14:paraId="34B662C0" w14:textId="77777777" w:rsidR="005A63BC" w:rsidRPr="001712B6" w:rsidRDefault="005A63BC" w:rsidP="005A63BC">
      <w:pPr>
        <w:pStyle w:val="Corpotesto"/>
        <w:numPr>
          <w:ilvl w:val="0"/>
          <w:numId w:val="2"/>
        </w:numPr>
        <w:spacing w:line="276" w:lineRule="auto"/>
        <w:ind w:left="284" w:hanging="284"/>
        <w:rPr>
          <w:rFonts w:ascii="Times New Roman" w:hAnsi="Times New Roman" w:cs="Times New Roman"/>
          <w:lang w:val="en-US"/>
        </w:rPr>
      </w:pPr>
      <w:r w:rsidRPr="001712B6">
        <w:rPr>
          <w:rFonts w:ascii="Times New Roman" w:hAnsi="Times New Roman" w:cs="Times New Roman"/>
          <w:lang w:val="en-US"/>
        </w:rPr>
        <w:t>an individual written assignment, which must be sent  to the professor with a three days notice and discussed during the oral exam (60% of the final grade); the individual assignment, regarding a business case on a change management situation, is used to assess the intended skill outcomes.</w:t>
      </w:r>
    </w:p>
    <w:p w14:paraId="53F7237C" w14:textId="77777777" w:rsidR="005A63BC" w:rsidRPr="001712B6" w:rsidRDefault="005A63BC" w:rsidP="005A63BC">
      <w:pPr>
        <w:pStyle w:val="Testo2"/>
        <w:spacing w:line="276" w:lineRule="auto"/>
        <w:rPr>
          <w:rFonts w:ascii="Times New Roman" w:hAnsi="Times New Roman"/>
          <w:szCs w:val="18"/>
          <w:lang w:val="en-US"/>
        </w:rPr>
      </w:pPr>
      <w:r w:rsidRPr="001712B6">
        <w:rPr>
          <w:rFonts w:ascii="Times New Roman" w:hAnsi="Times New Roman"/>
          <w:szCs w:val="18"/>
          <w:lang w:val="en-US"/>
        </w:rPr>
        <w:t xml:space="preserve">Even though attendance is not mandatory for a PASS in the single assessment route, it is strongly recommended. </w:t>
      </w:r>
    </w:p>
    <w:p w14:paraId="5DBCFD63" w14:textId="5019AB09" w:rsidR="002A1382" w:rsidRPr="001712B6" w:rsidRDefault="002A1382" w:rsidP="002A1382">
      <w:pPr>
        <w:pStyle w:val="Testo2"/>
        <w:ind w:firstLine="0"/>
        <w:rPr>
          <w:rFonts w:ascii="Times New Roman" w:hAnsi="Times New Roman"/>
          <w:i/>
          <w:iCs/>
          <w:szCs w:val="18"/>
          <w:lang w:val="en-US"/>
        </w:rPr>
      </w:pPr>
      <w:r w:rsidRPr="001712B6">
        <w:rPr>
          <w:rFonts w:ascii="Times New Roman" w:hAnsi="Times New Roman"/>
          <w:i/>
          <w:iCs/>
          <w:szCs w:val="18"/>
          <w:lang w:val="en-US"/>
        </w:rPr>
        <w:t>Assessment criteria</w:t>
      </w:r>
    </w:p>
    <w:p w14:paraId="365198BB" w14:textId="77777777" w:rsidR="002A1382" w:rsidRPr="001712B6" w:rsidRDefault="002A1382" w:rsidP="002A1382">
      <w:pPr>
        <w:pStyle w:val="Testo2"/>
        <w:rPr>
          <w:rFonts w:ascii="Times New Roman" w:hAnsi="Times New Roman"/>
          <w:szCs w:val="18"/>
          <w:lang w:val="en-US"/>
        </w:rPr>
      </w:pPr>
      <w:r w:rsidRPr="001712B6">
        <w:rPr>
          <w:rFonts w:ascii="Times New Roman" w:hAnsi="Times New Roman"/>
          <w:szCs w:val="18"/>
          <w:lang w:val="en-US"/>
        </w:rPr>
        <w:t>The student's preparation is evaluated according to grading scales which are published in Blackboard.</w:t>
      </w:r>
    </w:p>
    <w:p w14:paraId="749F0852" w14:textId="3DAC1EF4" w:rsidR="001F6A84" w:rsidRPr="001712B6" w:rsidRDefault="001F6A84" w:rsidP="001F6A84">
      <w:pPr>
        <w:spacing w:before="240" w:after="120"/>
        <w:rPr>
          <w:b/>
          <w:i/>
          <w:sz w:val="18"/>
          <w:szCs w:val="18"/>
          <w:lang w:val="en-US"/>
        </w:rPr>
      </w:pPr>
      <w:r w:rsidRPr="001712B6">
        <w:rPr>
          <w:b/>
          <w:i/>
          <w:sz w:val="18"/>
          <w:szCs w:val="18"/>
          <w:lang w:val="en-US"/>
        </w:rPr>
        <w:t>NOTES AND PREREQUISITES</w:t>
      </w:r>
    </w:p>
    <w:p w14:paraId="2FED8951" w14:textId="77777777" w:rsidR="00EF7B76" w:rsidRPr="001712B6" w:rsidRDefault="00EF7B76" w:rsidP="00EF7B76">
      <w:pPr>
        <w:tabs>
          <w:tab w:val="clear" w:pos="284"/>
        </w:tabs>
        <w:spacing w:line="276" w:lineRule="auto"/>
        <w:rPr>
          <w:i/>
          <w:iCs/>
          <w:sz w:val="18"/>
          <w:szCs w:val="18"/>
          <w:lang w:val="en-US"/>
        </w:rPr>
      </w:pPr>
      <w:r w:rsidRPr="001712B6">
        <w:rPr>
          <w:i/>
          <w:iCs/>
          <w:sz w:val="18"/>
          <w:szCs w:val="18"/>
          <w:lang w:val="en-US"/>
        </w:rPr>
        <w:t xml:space="preserve">N. ECTS </w:t>
      </w:r>
      <w:r w:rsidRPr="001712B6">
        <w:rPr>
          <w:sz w:val="18"/>
          <w:szCs w:val="18"/>
          <w:lang w:val="en-US"/>
        </w:rPr>
        <w:t>- 8</w:t>
      </w:r>
    </w:p>
    <w:p w14:paraId="46B9B78D"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Enrollment requirements </w:t>
      </w:r>
      <w:r w:rsidRPr="001712B6">
        <w:rPr>
          <w:sz w:val="18"/>
          <w:szCs w:val="18"/>
          <w:lang w:val="en-US"/>
        </w:rPr>
        <w:t>- A basic knowledge of management and organization theory is required. Students, who may not have such preliminary knowledge, will have to acquire them through an individual study activity, so that they can effectively follow the course.</w:t>
      </w:r>
    </w:p>
    <w:p w14:paraId="5DC36EDE" w14:textId="77777777" w:rsidR="00EF7B76" w:rsidRPr="001712B6" w:rsidRDefault="00EF7B76" w:rsidP="00EF7B76">
      <w:pPr>
        <w:tabs>
          <w:tab w:val="clear" w:pos="284"/>
        </w:tabs>
        <w:spacing w:line="276" w:lineRule="auto"/>
        <w:rPr>
          <w:i/>
          <w:iCs/>
          <w:sz w:val="18"/>
          <w:szCs w:val="18"/>
          <w:lang w:val="en-US"/>
        </w:rPr>
      </w:pPr>
      <w:r w:rsidRPr="001712B6">
        <w:rPr>
          <w:i/>
          <w:iCs/>
          <w:sz w:val="18"/>
          <w:szCs w:val="18"/>
          <w:lang w:val="en-US"/>
        </w:rPr>
        <w:t xml:space="preserve">Language of instructions </w:t>
      </w:r>
      <w:r w:rsidRPr="001712B6">
        <w:rPr>
          <w:sz w:val="18"/>
          <w:szCs w:val="18"/>
          <w:lang w:val="en-US"/>
        </w:rPr>
        <w:t>- English</w:t>
      </w:r>
    </w:p>
    <w:p w14:paraId="2D8121E7" w14:textId="449FF2D9"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Time </w:t>
      </w:r>
      <w:r w:rsidRPr="001712B6">
        <w:rPr>
          <w:sz w:val="18"/>
          <w:szCs w:val="18"/>
          <w:lang w:val="en-US"/>
        </w:rPr>
        <w:t xml:space="preserve">–7.5 hours per lecture week (7.5 x 8 weeks = 60 hours in total). </w:t>
      </w:r>
    </w:p>
    <w:p w14:paraId="4DFE59EF"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Attendance </w:t>
      </w:r>
      <w:r w:rsidRPr="001712B6">
        <w:rPr>
          <w:sz w:val="18"/>
          <w:szCs w:val="18"/>
          <w:lang w:val="en-US"/>
        </w:rPr>
        <w:t xml:space="preserve">– Attendance is strongly recommended. </w:t>
      </w:r>
    </w:p>
    <w:p w14:paraId="1F175E57" w14:textId="77777777" w:rsidR="00EF7B76" w:rsidRPr="001712B6" w:rsidRDefault="00EF7B76" w:rsidP="00EF7B76">
      <w:pPr>
        <w:tabs>
          <w:tab w:val="clear" w:pos="284"/>
        </w:tabs>
        <w:spacing w:line="276" w:lineRule="auto"/>
        <w:rPr>
          <w:i/>
          <w:iCs/>
          <w:sz w:val="18"/>
          <w:szCs w:val="18"/>
          <w:lang w:val="en-US"/>
        </w:rPr>
      </w:pPr>
      <w:r w:rsidRPr="001712B6">
        <w:rPr>
          <w:i/>
          <w:iCs/>
          <w:sz w:val="18"/>
          <w:szCs w:val="18"/>
          <w:lang w:val="en-US"/>
        </w:rPr>
        <w:t xml:space="preserve">Language of instructions </w:t>
      </w:r>
      <w:r w:rsidRPr="001712B6">
        <w:rPr>
          <w:sz w:val="18"/>
          <w:szCs w:val="18"/>
          <w:lang w:val="en-US"/>
        </w:rPr>
        <w:t>- English</w:t>
      </w:r>
    </w:p>
    <w:p w14:paraId="5E8AEACC"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lastRenderedPageBreak/>
        <w:t xml:space="preserve">Associated courses </w:t>
      </w:r>
      <w:r w:rsidRPr="001712B6">
        <w:rPr>
          <w:sz w:val="18"/>
          <w:szCs w:val="18"/>
          <w:lang w:val="en-US"/>
        </w:rPr>
        <w:t>– Corporate strategy, HR management, Cross cultural management, Project management, Work and Organizational Psychology</w:t>
      </w:r>
    </w:p>
    <w:p w14:paraId="125E80FC"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International dimension </w:t>
      </w:r>
      <w:r w:rsidRPr="001712B6">
        <w:rPr>
          <w:sz w:val="18"/>
          <w:szCs w:val="18"/>
          <w:lang w:val="en-US"/>
        </w:rPr>
        <w:t>– The course is co-taught by an Italian professor and by a Spanish professor. Moreover, international teaching materials are used throughout the course.</w:t>
      </w:r>
    </w:p>
    <w:p w14:paraId="4E86F41A"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Business connection </w:t>
      </w:r>
      <w:r w:rsidRPr="001712B6">
        <w:rPr>
          <w:sz w:val="18"/>
          <w:szCs w:val="18"/>
          <w:lang w:val="en-US"/>
        </w:rPr>
        <w:t>- The course makes extensive use of contemporary business cases and examples. Examples are also supported by guest speakers from business companies.</w:t>
      </w:r>
    </w:p>
    <w:p w14:paraId="2A4F57E6" w14:textId="77777777" w:rsidR="00EF7B76" w:rsidRPr="001712B6" w:rsidRDefault="00EF7B76" w:rsidP="00EF7B76">
      <w:pPr>
        <w:tabs>
          <w:tab w:val="clear" w:pos="284"/>
        </w:tabs>
        <w:spacing w:line="276" w:lineRule="auto"/>
        <w:rPr>
          <w:sz w:val="18"/>
          <w:szCs w:val="18"/>
          <w:lang w:val="en-US"/>
        </w:rPr>
      </w:pPr>
      <w:r w:rsidRPr="001712B6">
        <w:rPr>
          <w:i/>
          <w:iCs/>
          <w:sz w:val="18"/>
          <w:szCs w:val="18"/>
          <w:lang w:val="en-US"/>
        </w:rPr>
        <w:t xml:space="preserve">Professional context </w:t>
      </w:r>
      <w:r w:rsidRPr="001712B6">
        <w:rPr>
          <w:sz w:val="18"/>
          <w:szCs w:val="18"/>
          <w:lang w:val="en-US"/>
        </w:rPr>
        <w:t xml:space="preserve">- In professional life, managing change and leading people to change management are deeply embedding in multicultural organizations operating in local and global contexts. </w:t>
      </w:r>
    </w:p>
    <w:p w14:paraId="40EBCCD9" w14:textId="77777777" w:rsidR="00EF7B76" w:rsidRPr="00EF7B76" w:rsidRDefault="00EF7B76" w:rsidP="00EF7B76">
      <w:pPr>
        <w:tabs>
          <w:tab w:val="clear" w:pos="284"/>
        </w:tabs>
        <w:spacing w:line="276" w:lineRule="auto"/>
        <w:rPr>
          <w:sz w:val="18"/>
          <w:szCs w:val="18"/>
          <w:lang w:val="en-US"/>
        </w:rPr>
      </w:pPr>
      <w:r w:rsidRPr="001712B6">
        <w:rPr>
          <w:i/>
          <w:iCs/>
          <w:sz w:val="18"/>
          <w:szCs w:val="18"/>
          <w:lang w:val="en-US"/>
        </w:rPr>
        <w:t xml:space="preserve">Further information </w:t>
      </w:r>
      <w:r w:rsidRPr="001712B6">
        <w:rPr>
          <w:sz w:val="18"/>
          <w:szCs w:val="18"/>
          <w:lang w:val="en-US"/>
        </w:rPr>
        <w:t>– Additional information regarding the course schedule and delivery, learning assessment, expectation and policies, general announcements, and additional course materials will be posted on Blackboard.</w:t>
      </w:r>
      <w:r w:rsidRPr="00EF7B76">
        <w:rPr>
          <w:sz w:val="18"/>
          <w:szCs w:val="18"/>
          <w:lang w:val="en-US"/>
        </w:rPr>
        <w:t xml:space="preserve"> </w:t>
      </w:r>
    </w:p>
    <w:sectPr w:rsidR="00EF7B76" w:rsidRPr="00EF7B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DF1A" w14:textId="77777777" w:rsidR="00A90CF6" w:rsidRDefault="00A90CF6" w:rsidP="00C55553">
      <w:pPr>
        <w:spacing w:line="240" w:lineRule="auto"/>
      </w:pPr>
      <w:r>
        <w:separator/>
      </w:r>
    </w:p>
  </w:endnote>
  <w:endnote w:type="continuationSeparator" w:id="0">
    <w:p w14:paraId="746DE829" w14:textId="77777777" w:rsidR="00A90CF6" w:rsidRDefault="00A90CF6" w:rsidP="00C5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2C2C" w14:textId="77777777" w:rsidR="00A90CF6" w:rsidRDefault="00A90CF6" w:rsidP="00C55553">
      <w:pPr>
        <w:spacing w:line="240" w:lineRule="auto"/>
      </w:pPr>
      <w:r>
        <w:separator/>
      </w:r>
    </w:p>
  </w:footnote>
  <w:footnote w:type="continuationSeparator" w:id="0">
    <w:p w14:paraId="69391AF8" w14:textId="77777777" w:rsidR="00A90CF6" w:rsidRDefault="00A90CF6" w:rsidP="00C55553">
      <w:pPr>
        <w:spacing w:line="240" w:lineRule="auto"/>
      </w:pPr>
      <w:r>
        <w:continuationSeparator/>
      </w:r>
    </w:p>
  </w:footnote>
  <w:footnote w:id="1">
    <w:p w14:paraId="2ED332AF" w14:textId="0BEEC2F3" w:rsidR="00C55553" w:rsidRDefault="00C555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4E37F2"/>
    <w:multiLevelType w:val="hybridMultilevel"/>
    <w:tmpl w:val="EB1C0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nsid w:val="4AD76931"/>
    <w:multiLevelType w:val="hybridMultilevel"/>
    <w:tmpl w:val="AAFE66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4"/>
  </w:num>
  <w:num w:numId="6">
    <w:abstractNumId w:val="3"/>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83D"/>
    <w:rsid w:val="00005A45"/>
    <w:rsid w:val="00073106"/>
    <w:rsid w:val="00092E39"/>
    <w:rsid w:val="000C2EAB"/>
    <w:rsid w:val="000D02CE"/>
    <w:rsid w:val="001122F2"/>
    <w:rsid w:val="00140397"/>
    <w:rsid w:val="001712B6"/>
    <w:rsid w:val="00187B99"/>
    <w:rsid w:val="001B15ED"/>
    <w:rsid w:val="001F6A84"/>
    <w:rsid w:val="002014DD"/>
    <w:rsid w:val="00225906"/>
    <w:rsid w:val="00242499"/>
    <w:rsid w:val="00271198"/>
    <w:rsid w:val="002A1382"/>
    <w:rsid w:val="002D5E17"/>
    <w:rsid w:val="003D5278"/>
    <w:rsid w:val="00421A0C"/>
    <w:rsid w:val="004D1217"/>
    <w:rsid w:val="004D6008"/>
    <w:rsid w:val="004E3BDE"/>
    <w:rsid w:val="00515694"/>
    <w:rsid w:val="00541974"/>
    <w:rsid w:val="005A63BC"/>
    <w:rsid w:val="005A75AD"/>
    <w:rsid w:val="005B422A"/>
    <w:rsid w:val="00610753"/>
    <w:rsid w:val="00633B24"/>
    <w:rsid w:val="00640794"/>
    <w:rsid w:val="00664754"/>
    <w:rsid w:val="006C25F1"/>
    <w:rsid w:val="006F1772"/>
    <w:rsid w:val="007D3914"/>
    <w:rsid w:val="007E34E1"/>
    <w:rsid w:val="00810646"/>
    <w:rsid w:val="00886750"/>
    <w:rsid w:val="008942E7"/>
    <w:rsid w:val="008A1204"/>
    <w:rsid w:val="00900CCA"/>
    <w:rsid w:val="009136B1"/>
    <w:rsid w:val="00924B77"/>
    <w:rsid w:val="009278C7"/>
    <w:rsid w:val="00940DA2"/>
    <w:rsid w:val="009E055C"/>
    <w:rsid w:val="00A47813"/>
    <w:rsid w:val="00A74F6F"/>
    <w:rsid w:val="00A90CF6"/>
    <w:rsid w:val="00AD7557"/>
    <w:rsid w:val="00AE1BA8"/>
    <w:rsid w:val="00B07F57"/>
    <w:rsid w:val="00B328B7"/>
    <w:rsid w:val="00B50C5D"/>
    <w:rsid w:val="00B51253"/>
    <w:rsid w:val="00B525CC"/>
    <w:rsid w:val="00B56E1E"/>
    <w:rsid w:val="00B80C52"/>
    <w:rsid w:val="00BF51FB"/>
    <w:rsid w:val="00C02D48"/>
    <w:rsid w:val="00C47351"/>
    <w:rsid w:val="00C55553"/>
    <w:rsid w:val="00C94CC2"/>
    <w:rsid w:val="00D06C92"/>
    <w:rsid w:val="00D404F2"/>
    <w:rsid w:val="00DB0ED6"/>
    <w:rsid w:val="00E27B78"/>
    <w:rsid w:val="00E52B06"/>
    <w:rsid w:val="00E555C3"/>
    <w:rsid w:val="00E607E6"/>
    <w:rsid w:val="00EE5F9B"/>
    <w:rsid w:val="00EE7D81"/>
    <w:rsid w:val="00EF7B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C5555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55553"/>
  </w:style>
  <w:style w:type="character" w:styleId="Rimandonotaapidipagina">
    <w:name w:val="footnote reference"/>
    <w:basedOn w:val="Carpredefinitoparagrafo"/>
    <w:semiHidden/>
    <w:unhideWhenUsed/>
    <w:rsid w:val="00C55553"/>
    <w:rPr>
      <w:vertAlign w:val="superscript"/>
    </w:rPr>
  </w:style>
  <w:style w:type="character" w:styleId="Collegamentoipertestuale">
    <w:name w:val="Hyperlink"/>
    <w:basedOn w:val="Carpredefinitoparagrafo"/>
    <w:rsid w:val="00C55553"/>
    <w:rPr>
      <w:color w:val="0563C1" w:themeColor="hyperlink"/>
      <w:u w:val="single"/>
    </w:rPr>
  </w:style>
  <w:style w:type="character" w:styleId="Rimandocommento">
    <w:name w:val="annotation reference"/>
    <w:basedOn w:val="Carpredefinitoparagrafo"/>
    <w:semiHidden/>
    <w:unhideWhenUsed/>
    <w:rsid w:val="00092E39"/>
    <w:rPr>
      <w:sz w:val="16"/>
      <w:szCs w:val="16"/>
    </w:rPr>
  </w:style>
  <w:style w:type="paragraph" w:styleId="Testocommento">
    <w:name w:val="annotation text"/>
    <w:basedOn w:val="Normale"/>
    <w:link w:val="TestocommentoCarattere"/>
    <w:semiHidden/>
    <w:unhideWhenUsed/>
    <w:rsid w:val="00092E39"/>
    <w:pPr>
      <w:spacing w:line="240" w:lineRule="auto"/>
    </w:pPr>
    <w:rPr>
      <w:szCs w:val="20"/>
    </w:rPr>
  </w:style>
  <w:style w:type="character" w:customStyle="1" w:styleId="TestocommentoCarattere">
    <w:name w:val="Testo commento Carattere"/>
    <w:basedOn w:val="Carpredefinitoparagrafo"/>
    <w:link w:val="Testocommento"/>
    <w:semiHidden/>
    <w:rsid w:val="00092E39"/>
  </w:style>
  <w:style w:type="paragraph" w:styleId="Soggettocommento">
    <w:name w:val="annotation subject"/>
    <w:basedOn w:val="Testocommento"/>
    <w:next w:val="Testocommento"/>
    <w:link w:val="SoggettocommentoCarattere"/>
    <w:semiHidden/>
    <w:unhideWhenUsed/>
    <w:rsid w:val="00092E39"/>
    <w:rPr>
      <w:b/>
      <w:bCs/>
    </w:rPr>
  </w:style>
  <w:style w:type="character" w:customStyle="1" w:styleId="SoggettocommentoCarattere">
    <w:name w:val="Soggetto commento Carattere"/>
    <w:basedOn w:val="TestocommentoCarattere"/>
    <w:link w:val="Soggettocommento"/>
    <w:semiHidden/>
    <w:rsid w:val="00092E39"/>
    <w:rPr>
      <w:b/>
      <w:bCs/>
    </w:rPr>
  </w:style>
  <w:style w:type="paragraph" w:styleId="Revisione">
    <w:name w:val="Revision"/>
    <w:hidden/>
    <w:uiPriority w:val="99"/>
    <w:semiHidden/>
    <w:rsid w:val="00D06C9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C5555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55553"/>
  </w:style>
  <w:style w:type="character" w:styleId="Rimandonotaapidipagina">
    <w:name w:val="footnote reference"/>
    <w:basedOn w:val="Carpredefinitoparagrafo"/>
    <w:semiHidden/>
    <w:unhideWhenUsed/>
    <w:rsid w:val="00C55553"/>
    <w:rPr>
      <w:vertAlign w:val="superscript"/>
    </w:rPr>
  </w:style>
  <w:style w:type="character" w:styleId="Collegamentoipertestuale">
    <w:name w:val="Hyperlink"/>
    <w:basedOn w:val="Carpredefinitoparagrafo"/>
    <w:rsid w:val="00C55553"/>
    <w:rPr>
      <w:color w:val="0563C1" w:themeColor="hyperlink"/>
      <w:u w:val="single"/>
    </w:rPr>
  </w:style>
  <w:style w:type="character" w:styleId="Rimandocommento">
    <w:name w:val="annotation reference"/>
    <w:basedOn w:val="Carpredefinitoparagrafo"/>
    <w:semiHidden/>
    <w:unhideWhenUsed/>
    <w:rsid w:val="00092E39"/>
    <w:rPr>
      <w:sz w:val="16"/>
      <w:szCs w:val="16"/>
    </w:rPr>
  </w:style>
  <w:style w:type="paragraph" w:styleId="Testocommento">
    <w:name w:val="annotation text"/>
    <w:basedOn w:val="Normale"/>
    <w:link w:val="TestocommentoCarattere"/>
    <w:semiHidden/>
    <w:unhideWhenUsed/>
    <w:rsid w:val="00092E39"/>
    <w:pPr>
      <w:spacing w:line="240" w:lineRule="auto"/>
    </w:pPr>
    <w:rPr>
      <w:szCs w:val="20"/>
    </w:rPr>
  </w:style>
  <w:style w:type="character" w:customStyle="1" w:styleId="TestocommentoCarattere">
    <w:name w:val="Testo commento Carattere"/>
    <w:basedOn w:val="Carpredefinitoparagrafo"/>
    <w:link w:val="Testocommento"/>
    <w:semiHidden/>
    <w:rsid w:val="00092E39"/>
  </w:style>
  <w:style w:type="paragraph" w:styleId="Soggettocommento">
    <w:name w:val="annotation subject"/>
    <w:basedOn w:val="Testocommento"/>
    <w:next w:val="Testocommento"/>
    <w:link w:val="SoggettocommentoCarattere"/>
    <w:semiHidden/>
    <w:unhideWhenUsed/>
    <w:rsid w:val="00092E39"/>
    <w:rPr>
      <w:b/>
      <w:bCs/>
    </w:rPr>
  </w:style>
  <w:style w:type="character" w:customStyle="1" w:styleId="SoggettocommentoCarattere">
    <w:name w:val="Soggetto commento Carattere"/>
    <w:basedOn w:val="TestocommentoCarattere"/>
    <w:link w:val="Soggettocommento"/>
    <w:semiHidden/>
    <w:rsid w:val="00092E39"/>
    <w:rPr>
      <w:b/>
      <w:bCs/>
    </w:rPr>
  </w:style>
  <w:style w:type="paragraph" w:styleId="Revisione">
    <w:name w:val="Revision"/>
    <w:hidden/>
    <w:uiPriority w:val="99"/>
    <w:semiHidden/>
    <w:rsid w:val="00D06C9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nara-g-lara-f-j/change-management-9788891911094-5563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80BA-3F0C-42BD-859B-F1FF295F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1075</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2022-06-21T14:22:00Z</dcterms:created>
  <dcterms:modified xsi:type="dcterms:W3CDTF">2022-07-25T08:53:00Z</dcterms:modified>
</cp:coreProperties>
</file>