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360A5" w14:textId="77777777" w:rsidR="00A60125" w:rsidRPr="00DF4F8A" w:rsidRDefault="00A60125" w:rsidP="00A60125">
      <w:pPr>
        <w:pStyle w:val="Titolo1"/>
      </w:pPr>
      <w:r w:rsidRPr="00DF4F8A">
        <w:t>Economia degli intermediari finanziari (Private Banking)</w:t>
      </w:r>
    </w:p>
    <w:p w14:paraId="65CF9EA3" w14:textId="77777777" w:rsidR="00A60125" w:rsidRPr="00DF4F8A" w:rsidRDefault="00A60125" w:rsidP="00A60125">
      <w:pPr>
        <w:pStyle w:val="Titolo2"/>
      </w:pPr>
      <w:r w:rsidRPr="00DF4F8A">
        <w:t>Prof. Marco Oriani; Prof. Theo Pietro Delia Russell</w:t>
      </w:r>
    </w:p>
    <w:p w14:paraId="6905C76D" w14:textId="77777777" w:rsidR="002D5E17" w:rsidRPr="00DF4F8A" w:rsidRDefault="00A60125" w:rsidP="00A60125">
      <w:pPr>
        <w:spacing w:before="240" w:after="120" w:line="240" w:lineRule="exact"/>
        <w:rPr>
          <w:b/>
          <w:sz w:val="18"/>
        </w:rPr>
      </w:pPr>
      <w:r w:rsidRPr="00DF4F8A">
        <w:rPr>
          <w:b/>
          <w:i/>
          <w:sz w:val="18"/>
        </w:rPr>
        <w:t>OBIETTIVO DEL CORSO E RISULTATI DI APPRENDIMENTO ATTESI</w:t>
      </w:r>
    </w:p>
    <w:p w14:paraId="1DC0963D" w14:textId="77777777" w:rsidR="00A60125" w:rsidRPr="00DF4F8A" w:rsidRDefault="00A60125" w:rsidP="00A60125">
      <w:pPr>
        <w:rPr>
          <w:szCs w:val="20"/>
        </w:rPr>
      </w:pPr>
      <w:r w:rsidRPr="00DF4F8A">
        <w:rPr>
          <w:szCs w:val="20"/>
        </w:rPr>
        <w:t xml:space="preserve">Il corso si propone di far acquisire agli studenti gli elementi di dettaglio relativi all’affermarsi di unità organizzative e intermediari specializzati nell’attività di </w:t>
      </w:r>
      <w:r w:rsidRPr="00DF4F8A">
        <w:rPr>
          <w:i/>
          <w:iCs/>
          <w:szCs w:val="20"/>
        </w:rPr>
        <w:t>private banking</w:t>
      </w:r>
      <w:r w:rsidRPr="00DF4F8A">
        <w:rPr>
          <w:szCs w:val="20"/>
        </w:rPr>
        <w:t xml:space="preserve"> e </w:t>
      </w:r>
      <w:r w:rsidRPr="00DF4F8A">
        <w:rPr>
          <w:i/>
          <w:szCs w:val="20"/>
        </w:rPr>
        <w:t>wealth management</w:t>
      </w:r>
      <w:r w:rsidRPr="00DF4F8A">
        <w:rPr>
          <w:szCs w:val="20"/>
        </w:rPr>
        <w:t xml:space="preserve"> a favore della clientela più abbiente. </w:t>
      </w:r>
    </w:p>
    <w:p w14:paraId="00505C62" w14:textId="77777777" w:rsidR="00A60125" w:rsidRPr="00DF4F8A" w:rsidRDefault="00A60125" w:rsidP="00A60125">
      <w:pPr>
        <w:spacing w:before="120"/>
        <w:rPr>
          <w:szCs w:val="20"/>
        </w:rPr>
      </w:pPr>
      <w:r w:rsidRPr="00DF4F8A">
        <w:rPr>
          <w:szCs w:val="20"/>
        </w:rPr>
        <w:t>Al termine del corso lo studente:</w:t>
      </w:r>
    </w:p>
    <w:p w14:paraId="25F4D440" w14:textId="77777777" w:rsidR="00A60125" w:rsidRPr="00DF4F8A" w:rsidRDefault="00A60125" w:rsidP="0048199B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DF4F8A">
        <w:rPr>
          <w:szCs w:val="20"/>
        </w:rPr>
        <w:t>avrà acquisito le conoscenze utili per la comprensione degli aspetti definitori del perimetro dell’attività di private banking, con particolare riferimento al mercato italiano;</w:t>
      </w:r>
    </w:p>
    <w:p w14:paraId="3C7F5B04" w14:textId="77777777" w:rsidR="00A60125" w:rsidRPr="00DF4F8A" w:rsidRDefault="00A60125" w:rsidP="0048199B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DF4F8A">
        <w:rPr>
          <w:szCs w:val="20"/>
        </w:rPr>
        <w:t xml:space="preserve">sarà in grado di conoscere i risvolti tecnico-organizzativi e strategici di questa area di </w:t>
      </w:r>
      <w:r w:rsidRPr="00DF4F8A">
        <w:rPr>
          <w:i/>
          <w:iCs/>
          <w:szCs w:val="20"/>
        </w:rPr>
        <w:t>business</w:t>
      </w:r>
      <w:r w:rsidRPr="00DF4F8A">
        <w:rPr>
          <w:szCs w:val="20"/>
        </w:rPr>
        <w:t>;</w:t>
      </w:r>
    </w:p>
    <w:p w14:paraId="7CD3806A" w14:textId="667E1ECE" w:rsidR="00A60125" w:rsidRPr="00DF4F8A" w:rsidRDefault="00A60125" w:rsidP="0048199B">
      <w:pPr>
        <w:pStyle w:val="Paragrafoelenco"/>
        <w:numPr>
          <w:ilvl w:val="0"/>
          <w:numId w:val="1"/>
        </w:numPr>
        <w:ind w:left="284" w:hanging="284"/>
        <w:rPr>
          <w:color w:val="FF0000"/>
          <w:szCs w:val="20"/>
        </w:rPr>
      </w:pPr>
      <w:r w:rsidRPr="00DF4F8A">
        <w:rPr>
          <w:szCs w:val="20"/>
        </w:rPr>
        <w:t xml:space="preserve">sarà in grado di comprendere ed utilizzare le tecniche operative di </w:t>
      </w:r>
      <w:r w:rsidRPr="00DF4F8A">
        <w:rPr>
          <w:i/>
          <w:szCs w:val="20"/>
        </w:rPr>
        <w:t>asset allocation</w:t>
      </w:r>
      <w:r w:rsidRPr="00DF4F8A">
        <w:rPr>
          <w:szCs w:val="20"/>
        </w:rPr>
        <w:t xml:space="preserve">, di </w:t>
      </w:r>
      <w:r w:rsidRPr="00DF4F8A">
        <w:rPr>
          <w:i/>
          <w:szCs w:val="20"/>
        </w:rPr>
        <w:t>portfolio management</w:t>
      </w:r>
      <w:r w:rsidRPr="00DF4F8A">
        <w:rPr>
          <w:szCs w:val="20"/>
        </w:rPr>
        <w:t xml:space="preserve"> e di </w:t>
      </w:r>
      <w:r w:rsidRPr="00DF4F8A">
        <w:rPr>
          <w:i/>
          <w:szCs w:val="20"/>
        </w:rPr>
        <w:t>wealth planning</w:t>
      </w:r>
      <w:r w:rsidRPr="00DF4F8A">
        <w:rPr>
          <w:szCs w:val="20"/>
        </w:rPr>
        <w:t xml:space="preserve"> alla base della costruzione dei portafogli della clientela private</w:t>
      </w:r>
      <w:r w:rsidR="00340037" w:rsidRPr="00DF4F8A">
        <w:rPr>
          <w:szCs w:val="20"/>
        </w:rPr>
        <w:t xml:space="preserve"> sia su Asset Class tradizionali sia su Asset Class Alternative (con focus sui private markets);</w:t>
      </w:r>
    </w:p>
    <w:p w14:paraId="58F26C26" w14:textId="77777777" w:rsidR="00A60125" w:rsidRPr="00DF4F8A" w:rsidRDefault="00A60125" w:rsidP="0048199B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DF4F8A">
        <w:rPr>
          <w:szCs w:val="20"/>
        </w:rPr>
        <w:t>riuscirà ad utilizzare la piattaforma Bloomberg per comporre opportunamente i portafogli ed effettuare valutazioni adeguate degli strumenti in essi inseriti;</w:t>
      </w:r>
    </w:p>
    <w:p w14:paraId="672BE191" w14:textId="77777777" w:rsidR="00A60125" w:rsidRPr="00DF4F8A" w:rsidRDefault="00A60125" w:rsidP="0048199B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DF4F8A">
        <w:rPr>
          <w:szCs w:val="20"/>
        </w:rPr>
        <w:t>avrà acquisito un linguaggio tecnico appropriato che gli consenta di comunicare con chiarezza ed efficacia le conoscenze acquisite;</w:t>
      </w:r>
    </w:p>
    <w:p w14:paraId="197969DF" w14:textId="77777777" w:rsidR="00A60125" w:rsidRPr="00DF4F8A" w:rsidRDefault="00A60125" w:rsidP="0048199B">
      <w:pPr>
        <w:pStyle w:val="Paragrafoelenco"/>
        <w:numPr>
          <w:ilvl w:val="0"/>
          <w:numId w:val="1"/>
        </w:numPr>
        <w:ind w:left="284" w:hanging="284"/>
        <w:rPr>
          <w:szCs w:val="20"/>
        </w:rPr>
      </w:pPr>
      <w:r w:rsidRPr="00DF4F8A">
        <w:rPr>
          <w:szCs w:val="20"/>
        </w:rPr>
        <w:t xml:space="preserve">avrà approfondito le sue conoscenze sull’attività e gli aspetti gestionali tipici dei </w:t>
      </w:r>
      <w:r w:rsidRPr="00DF4F8A">
        <w:rPr>
          <w:i/>
          <w:szCs w:val="20"/>
        </w:rPr>
        <w:t>family office.</w:t>
      </w:r>
    </w:p>
    <w:p w14:paraId="61DF3C98" w14:textId="77777777" w:rsidR="00A60125" w:rsidRPr="00DF4F8A" w:rsidRDefault="00A60125" w:rsidP="00A60125">
      <w:pPr>
        <w:spacing w:before="240" w:after="120" w:line="240" w:lineRule="exact"/>
        <w:rPr>
          <w:b/>
          <w:sz w:val="18"/>
        </w:rPr>
      </w:pPr>
      <w:r w:rsidRPr="00DF4F8A">
        <w:rPr>
          <w:b/>
          <w:i/>
          <w:sz w:val="18"/>
        </w:rPr>
        <w:t>PROGRAMMA DEL CORSO</w:t>
      </w:r>
    </w:p>
    <w:p w14:paraId="4C246FFB" w14:textId="77777777" w:rsidR="00A60125" w:rsidRPr="00DF4F8A" w:rsidRDefault="00A60125" w:rsidP="0048199B">
      <w:pPr>
        <w:ind w:left="284" w:hanging="284"/>
        <w:rPr>
          <w:i/>
        </w:rPr>
      </w:pPr>
      <w:r w:rsidRPr="00DF4F8A">
        <w:t>1.</w:t>
      </w:r>
      <w:r w:rsidRPr="00DF4F8A">
        <w:tab/>
        <w:t xml:space="preserve">L’evoluzione del concetto di private banking: risparmio gestito, personal e private banking; le variabili chiave nell’attività di </w:t>
      </w:r>
      <w:r w:rsidRPr="00DF4F8A">
        <w:rPr>
          <w:i/>
        </w:rPr>
        <w:t>private banking</w:t>
      </w:r>
      <w:r w:rsidRPr="00DF4F8A">
        <w:t xml:space="preserve">; il </w:t>
      </w:r>
      <w:r w:rsidRPr="00DF4F8A">
        <w:rPr>
          <w:i/>
        </w:rPr>
        <w:t>wealth management.</w:t>
      </w:r>
    </w:p>
    <w:p w14:paraId="2CE8C514" w14:textId="77777777" w:rsidR="00A60125" w:rsidRPr="00DF4F8A" w:rsidRDefault="00A60125" w:rsidP="0048199B">
      <w:pPr>
        <w:ind w:left="284" w:hanging="284"/>
      </w:pPr>
      <w:r w:rsidRPr="00DF4F8A">
        <w:t>2.</w:t>
      </w:r>
      <w:r w:rsidRPr="00DF4F8A">
        <w:tab/>
        <w:t>L’offerta di private banking: gli operatori attivi; le barriere all’entrata; le esperienze europee e anglosassoni.</w:t>
      </w:r>
    </w:p>
    <w:p w14:paraId="78DD6262" w14:textId="77777777" w:rsidR="00A60125" w:rsidRPr="00DF4F8A" w:rsidRDefault="00A60125" w:rsidP="0048199B">
      <w:pPr>
        <w:ind w:left="284" w:hanging="284"/>
      </w:pPr>
      <w:r w:rsidRPr="00DF4F8A">
        <w:t>3.</w:t>
      </w:r>
      <w:r w:rsidRPr="00DF4F8A">
        <w:tab/>
        <w:t>I profili organizzativi: la scelta del modello di riferimento e i problemi di implementazione; le figure professionali.</w:t>
      </w:r>
    </w:p>
    <w:p w14:paraId="60144CCD" w14:textId="77777777" w:rsidR="00A60125" w:rsidRPr="00DF4F8A" w:rsidRDefault="0048199B" w:rsidP="0048199B">
      <w:pPr>
        <w:ind w:left="284" w:hanging="284"/>
      </w:pPr>
      <w:r w:rsidRPr="00DF4F8A">
        <w:t>4.</w:t>
      </w:r>
      <w:r w:rsidRPr="00DF4F8A">
        <w:tab/>
      </w:r>
      <w:r w:rsidR="00A60125" w:rsidRPr="00DF4F8A">
        <w:t xml:space="preserve">Il processo di Investimento (analisi dei mercati finanziari, strategia di investimento e </w:t>
      </w:r>
      <w:r w:rsidR="00A60125" w:rsidRPr="00DF4F8A">
        <w:rPr>
          <w:i/>
        </w:rPr>
        <w:t>asset allocation</w:t>
      </w:r>
      <w:r w:rsidR="00A60125" w:rsidRPr="00DF4F8A">
        <w:t xml:space="preserve">) e la costruzione, ottimizzazione e </w:t>
      </w:r>
      <w:r w:rsidR="00A60125" w:rsidRPr="00DF4F8A">
        <w:rPr>
          <w:i/>
        </w:rPr>
        <w:t xml:space="preserve">risk management </w:t>
      </w:r>
      <w:r w:rsidR="00A60125" w:rsidRPr="00DF4F8A">
        <w:t>di portafoglio con utilizzo dei terminali Bloomberg in dotazione all’Università (con opzione di ottenere il BMC - Bloomberg Market Concept Certificate).</w:t>
      </w:r>
    </w:p>
    <w:p w14:paraId="05D3306A" w14:textId="77777777" w:rsidR="00A60125" w:rsidRPr="00DF4F8A" w:rsidRDefault="0048199B" w:rsidP="0048199B">
      <w:pPr>
        <w:ind w:left="284" w:hanging="284"/>
      </w:pPr>
      <w:r w:rsidRPr="00DF4F8A">
        <w:lastRenderedPageBreak/>
        <w:t>5.</w:t>
      </w:r>
      <w:r w:rsidRPr="00DF4F8A">
        <w:tab/>
      </w:r>
      <w:r w:rsidR="00A60125" w:rsidRPr="00DF4F8A">
        <w:t xml:space="preserve">La domanda di servizi di private banking: i criteri di segmentazione della clientela; l’analisi dei bisogni; dal </w:t>
      </w:r>
      <w:r w:rsidR="00A60125" w:rsidRPr="00DF4F8A">
        <w:rPr>
          <w:i/>
        </w:rPr>
        <w:t>transactio</w:t>
      </w:r>
      <w:r w:rsidR="00A60125" w:rsidRPr="00DF4F8A">
        <w:t xml:space="preserve">n al </w:t>
      </w:r>
      <w:r w:rsidR="00A60125" w:rsidRPr="00DF4F8A">
        <w:rPr>
          <w:i/>
        </w:rPr>
        <w:t>relationship banking</w:t>
      </w:r>
      <w:r w:rsidR="00A60125" w:rsidRPr="00DF4F8A">
        <w:t xml:space="preserve">; gli obblighi normativi introdotti dalla MIFID II e dalla IDD (Insurance Distribution Directive). Gli impatti sui modelli di business e sui prodotti; acquisizione e </w:t>
      </w:r>
      <w:proofErr w:type="spellStart"/>
      <w:r w:rsidR="00A60125" w:rsidRPr="00DF4F8A">
        <w:rPr>
          <w:i/>
        </w:rPr>
        <w:t>retention</w:t>
      </w:r>
      <w:proofErr w:type="spellEnd"/>
      <w:r w:rsidR="00A60125" w:rsidRPr="00DF4F8A">
        <w:t xml:space="preserve"> della clientela; il ruolo della finanza comportamentale nel private banking.</w:t>
      </w:r>
    </w:p>
    <w:p w14:paraId="11F5011E" w14:textId="77777777" w:rsidR="00A60125" w:rsidRPr="00DF4F8A" w:rsidRDefault="00A60125" w:rsidP="0048199B">
      <w:pPr>
        <w:ind w:left="284" w:hanging="284"/>
      </w:pPr>
      <w:r w:rsidRPr="00DF4F8A">
        <w:t>6.</w:t>
      </w:r>
      <w:r w:rsidRPr="00DF4F8A">
        <w:tab/>
        <w:t xml:space="preserve">L’offerta di servizi di </w:t>
      </w:r>
      <w:proofErr w:type="spellStart"/>
      <w:r w:rsidRPr="00DF4F8A">
        <w:rPr>
          <w:i/>
        </w:rPr>
        <w:t>advisory</w:t>
      </w:r>
      <w:proofErr w:type="spellEnd"/>
      <w:r w:rsidRPr="00DF4F8A">
        <w:t xml:space="preserve"> nel private banking: il </w:t>
      </w:r>
      <w:r w:rsidRPr="00DF4F8A">
        <w:rPr>
          <w:i/>
        </w:rPr>
        <w:t>portfolio management</w:t>
      </w:r>
      <w:r w:rsidRPr="00DF4F8A">
        <w:t xml:space="preserve">, gli strumenti di </w:t>
      </w:r>
      <w:r w:rsidRPr="00DF4F8A">
        <w:rPr>
          <w:i/>
        </w:rPr>
        <w:t>wealth planning</w:t>
      </w:r>
      <w:r w:rsidRPr="00DF4F8A">
        <w:t xml:space="preserve"> e protezione e pianificazione patrimoniale (aspetti giuridici e fiscali).</w:t>
      </w:r>
    </w:p>
    <w:p w14:paraId="656041DE" w14:textId="53B639C1" w:rsidR="00A000D7" w:rsidRPr="00DF4F8A" w:rsidRDefault="007823ED" w:rsidP="0048199B">
      <w:pPr>
        <w:ind w:left="284" w:hanging="284"/>
      </w:pPr>
      <w:r w:rsidRPr="00DF4F8A">
        <w:t xml:space="preserve">7. </w:t>
      </w:r>
      <w:r w:rsidR="00A000D7" w:rsidRPr="00DF4F8A">
        <w:t xml:space="preserve">  L’analisi della performance di un portafoglio d’investimento e dei suoi principali parametri di rischio/rendimento con focus sulle diverse </w:t>
      </w:r>
      <w:r w:rsidR="00340037" w:rsidRPr="00DF4F8A">
        <w:t>A</w:t>
      </w:r>
      <w:r w:rsidR="00A000D7" w:rsidRPr="00DF4F8A">
        <w:t xml:space="preserve">sset </w:t>
      </w:r>
      <w:r w:rsidR="00340037" w:rsidRPr="00DF4F8A">
        <w:t>C</w:t>
      </w:r>
      <w:r w:rsidR="00A000D7" w:rsidRPr="00DF4F8A">
        <w:t>lass</w:t>
      </w:r>
    </w:p>
    <w:p w14:paraId="7F388E9F" w14:textId="7C9062C1" w:rsidR="007823ED" w:rsidRPr="00DF4F8A" w:rsidRDefault="00A000D7" w:rsidP="0048199B">
      <w:pPr>
        <w:ind w:left="284" w:hanging="284"/>
      </w:pPr>
      <w:r w:rsidRPr="00DF4F8A">
        <w:t xml:space="preserve">8.   </w:t>
      </w:r>
      <w:r w:rsidR="007823ED" w:rsidRPr="00DF4F8A">
        <w:t xml:space="preserve">Gli Investimenti nei Private Markets: il ruolo delle Asset Class illiquide (Private </w:t>
      </w:r>
      <w:proofErr w:type="spellStart"/>
      <w:r w:rsidR="007823ED" w:rsidRPr="00DF4F8A">
        <w:t>Equity</w:t>
      </w:r>
      <w:proofErr w:type="spellEnd"/>
      <w:r w:rsidR="007823ED" w:rsidRPr="00DF4F8A">
        <w:t xml:space="preserve">, Private </w:t>
      </w:r>
      <w:proofErr w:type="spellStart"/>
      <w:r w:rsidR="007823ED" w:rsidRPr="00DF4F8A">
        <w:t>Debt</w:t>
      </w:r>
      <w:proofErr w:type="spellEnd"/>
      <w:r w:rsidR="007823ED" w:rsidRPr="00DF4F8A">
        <w:t>, Venture Capital e Real Estate).</w:t>
      </w:r>
    </w:p>
    <w:p w14:paraId="37C468D7" w14:textId="2104610D" w:rsidR="00A60125" w:rsidRPr="00DF4F8A" w:rsidRDefault="00A000D7" w:rsidP="0048199B">
      <w:pPr>
        <w:ind w:left="284" w:hanging="284"/>
      </w:pPr>
      <w:r w:rsidRPr="00DF4F8A">
        <w:t>9</w:t>
      </w:r>
      <w:r w:rsidR="00A60125" w:rsidRPr="00DF4F8A">
        <w:t>.</w:t>
      </w:r>
      <w:r w:rsidR="00A60125" w:rsidRPr="00DF4F8A">
        <w:tab/>
        <w:t xml:space="preserve">I family office: concetto, tipologie e funzioni; la </w:t>
      </w:r>
      <w:proofErr w:type="spellStart"/>
      <w:r w:rsidR="00A60125" w:rsidRPr="00DF4F8A">
        <w:t>value</w:t>
      </w:r>
      <w:proofErr w:type="spellEnd"/>
      <w:r w:rsidR="00A60125" w:rsidRPr="00DF4F8A">
        <w:t xml:space="preserve"> </w:t>
      </w:r>
      <w:proofErr w:type="spellStart"/>
      <w:r w:rsidR="00A60125" w:rsidRPr="00DF4F8A">
        <w:t>proposition</w:t>
      </w:r>
      <w:proofErr w:type="spellEnd"/>
      <w:r w:rsidR="00A60125" w:rsidRPr="00DF4F8A">
        <w:t>; il mercato dei family office.</w:t>
      </w:r>
    </w:p>
    <w:p w14:paraId="04F6DC59" w14:textId="43C5BC0F" w:rsidR="00A60125" w:rsidRPr="00DF4F8A" w:rsidRDefault="00A000D7" w:rsidP="0048199B">
      <w:pPr>
        <w:ind w:left="284" w:hanging="284"/>
      </w:pPr>
      <w:r w:rsidRPr="00DF4F8A">
        <w:t>10</w:t>
      </w:r>
      <w:r w:rsidR="00A60125" w:rsidRPr="00DF4F8A">
        <w:t>.</w:t>
      </w:r>
      <w:r w:rsidR="00A60125" w:rsidRPr="00DF4F8A">
        <w:tab/>
        <w:t>Le scelte strategiche nel private banking (problematiche di pricing, dimensionamento della rete e dei banker, coerenza di segmento, comunicazione).</w:t>
      </w:r>
    </w:p>
    <w:p w14:paraId="0D6FE673" w14:textId="176A6748" w:rsidR="00A60125" w:rsidRPr="00DF4F8A" w:rsidRDefault="00A60125" w:rsidP="0048199B">
      <w:pPr>
        <w:spacing w:before="240" w:after="120"/>
        <w:rPr>
          <w:b/>
          <w:i/>
          <w:sz w:val="18"/>
        </w:rPr>
      </w:pPr>
      <w:r w:rsidRPr="00DF4F8A">
        <w:rPr>
          <w:b/>
          <w:i/>
          <w:sz w:val="18"/>
        </w:rPr>
        <w:t>BIBLIOGRAFIA</w:t>
      </w:r>
      <w:r w:rsidR="00F24357">
        <w:rPr>
          <w:rStyle w:val="Rimandonotaapidipagina"/>
          <w:b/>
          <w:i/>
          <w:sz w:val="18"/>
        </w:rPr>
        <w:footnoteReference w:id="1"/>
      </w:r>
    </w:p>
    <w:p w14:paraId="18E89263" w14:textId="77777777" w:rsidR="00A60125" w:rsidRPr="00DF4F8A" w:rsidRDefault="00A60125" w:rsidP="0048199B">
      <w:pPr>
        <w:pStyle w:val="Testo2"/>
        <w:ind w:firstLine="0"/>
      </w:pPr>
      <w:r w:rsidRPr="00DF4F8A">
        <w:t>Testi obbligatori</w:t>
      </w:r>
    </w:p>
    <w:p w14:paraId="2D4493D1" w14:textId="0D447DB5" w:rsidR="00A60125" w:rsidRPr="00DF4F8A" w:rsidRDefault="00A60125" w:rsidP="00A60125">
      <w:pPr>
        <w:pStyle w:val="Testo2"/>
        <w:spacing w:line="240" w:lineRule="atLeast"/>
        <w:ind w:left="284" w:hanging="284"/>
        <w:rPr>
          <w:spacing w:val="-5"/>
        </w:rPr>
      </w:pPr>
      <w:r w:rsidRPr="00DF4F8A">
        <w:rPr>
          <w:smallCaps/>
          <w:spacing w:val="-5"/>
          <w:sz w:val="16"/>
        </w:rPr>
        <w:t>M. Oriani-B. Zanaboni,</w:t>
      </w:r>
      <w:r w:rsidRPr="00DF4F8A">
        <w:rPr>
          <w:i/>
          <w:spacing w:val="-5"/>
        </w:rPr>
        <w:t xml:space="preserve"> Trattato di private banking e wealth management. Il private banking,</w:t>
      </w:r>
      <w:r w:rsidRPr="00DF4F8A">
        <w:rPr>
          <w:spacing w:val="-5"/>
        </w:rPr>
        <w:t xml:space="preserve"> vol. 1, Hoepli, Milano, 2016.</w:t>
      </w:r>
      <w:r w:rsidR="00F24357">
        <w:rPr>
          <w:spacing w:val="-5"/>
        </w:rPr>
        <w:t xml:space="preserve"> </w:t>
      </w:r>
      <w:hyperlink r:id="rId9" w:history="1">
        <w:r w:rsidR="00F24357" w:rsidRPr="00F2435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AE78714" w14:textId="3260419B" w:rsidR="00A60125" w:rsidRPr="00DF4F8A" w:rsidRDefault="00A60125" w:rsidP="00A60125">
      <w:pPr>
        <w:pStyle w:val="Testo2"/>
        <w:spacing w:line="240" w:lineRule="atLeast"/>
        <w:ind w:left="284" w:hanging="284"/>
        <w:rPr>
          <w:spacing w:val="-5"/>
        </w:rPr>
      </w:pPr>
      <w:r w:rsidRPr="00DF4F8A">
        <w:rPr>
          <w:smallCaps/>
          <w:spacing w:val="-5"/>
          <w:sz w:val="16"/>
        </w:rPr>
        <w:t>M. Oriani,</w:t>
      </w:r>
      <w:r w:rsidRPr="00DF4F8A">
        <w:rPr>
          <w:i/>
          <w:spacing w:val="-5"/>
        </w:rPr>
        <w:t xml:space="preserve"> Il family office. Il nuovo wealth management per la gestione dei grandi patrimoni familiari,</w:t>
      </w:r>
      <w:r w:rsidRPr="00DF4F8A">
        <w:rPr>
          <w:spacing w:val="-5"/>
        </w:rPr>
        <w:t xml:space="preserve"> F. Angeli, Milano, 2008.</w:t>
      </w:r>
      <w:r w:rsidR="00F24357">
        <w:rPr>
          <w:spacing w:val="-5"/>
        </w:rPr>
        <w:t xml:space="preserve"> </w:t>
      </w:r>
      <w:hyperlink r:id="rId10" w:history="1">
        <w:r w:rsidR="00F24357" w:rsidRPr="00F2435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F35CF0C" w14:textId="77777777" w:rsidR="00A60125" w:rsidRPr="00DF4F8A" w:rsidRDefault="00A60125" w:rsidP="0048199B">
      <w:pPr>
        <w:pStyle w:val="Testo2"/>
        <w:ind w:firstLine="0"/>
      </w:pPr>
      <w:r w:rsidRPr="00DF4F8A">
        <w:t xml:space="preserve">Materiale integrativo reperibile su </w:t>
      </w:r>
      <w:r w:rsidRPr="00DF4F8A">
        <w:rPr>
          <w:i/>
        </w:rPr>
        <w:t>Blackboard</w:t>
      </w:r>
      <w:r w:rsidRPr="00DF4F8A">
        <w:t>.</w:t>
      </w:r>
    </w:p>
    <w:p w14:paraId="2E54F5D3" w14:textId="77777777" w:rsidR="00A60125" w:rsidRPr="00DF4F8A" w:rsidRDefault="00A60125" w:rsidP="00A60125">
      <w:pPr>
        <w:spacing w:before="240" w:after="120"/>
        <w:rPr>
          <w:b/>
          <w:i/>
          <w:sz w:val="18"/>
        </w:rPr>
      </w:pPr>
      <w:r w:rsidRPr="00DF4F8A">
        <w:rPr>
          <w:b/>
          <w:i/>
          <w:sz w:val="18"/>
        </w:rPr>
        <w:t>DIDATTICA DEL CORSO</w:t>
      </w:r>
    </w:p>
    <w:p w14:paraId="0C6759CD" w14:textId="77777777" w:rsidR="00A60125" w:rsidRPr="00DF4F8A" w:rsidRDefault="00A60125" w:rsidP="00A60125">
      <w:pPr>
        <w:pStyle w:val="Testo2"/>
      </w:pPr>
      <w:r w:rsidRPr="00DF4F8A">
        <w:t>Lezioni frontali, testimonianze di esperti, seminari, project work.</w:t>
      </w:r>
    </w:p>
    <w:p w14:paraId="73ECBF26" w14:textId="77777777" w:rsidR="00A60125" w:rsidRPr="00DF4F8A" w:rsidRDefault="00A60125" w:rsidP="00A60125">
      <w:pPr>
        <w:spacing w:before="240" w:after="120"/>
        <w:rPr>
          <w:b/>
          <w:i/>
          <w:sz w:val="18"/>
        </w:rPr>
      </w:pPr>
      <w:r w:rsidRPr="00DF4F8A">
        <w:rPr>
          <w:b/>
          <w:i/>
          <w:sz w:val="18"/>
        </w:rPr>
        <w:t>METODO E CRITERI DI VALUTAZIONE</w:t>
      </w:r>
    </w:p>
    <w:p w14:paraId="5C6DFF0D" w14:textId="77777777" w:rsidR="00A60125" w:rsidRPr="00DF4F8A" w:rsidRDefault="00A60125" w:rsidP="00A60125">
      <w:pPr>
        <w:pStyle w:val="Testo2"/>
      </w:pPr>
      <w:r w:rsidRPr="00DF4F8A">
        <w:t>Prova scritta al termine del corso (domande con risposte aperte, esercizi) che pesa per il 60% sul voto complessivo dell’esame.</w:t>
      </w:r>
    </w:p>
    <w:p w14:paraId="02DE8572" w14:textId="77777777" w:rsidR="00A60125" w:rsidRPr="00DF4F8A" w:rsidRDefault="00A60125" w:rsidP="00A60125">
      <w:pPr>
        <w:pStyle w:val="Testo2"/>
      </w:pPr>
      <w:r w:rsidRPr="00DF4F8A">
        <w:t>Project work obbligatorio in cui gli studenti dovranno prendere in esame la situazione di una famiglia tipo, cliente di una struttura di private banking, e procedere a proporre soluzioni per la gestione delle componenti finanziarie e non finanziarie del suo patrimonio. Il project work pesa per il 40% sul voto complessivo dell’esame.</w:t>
      </w:r>
    </w:p>
    <w:p w14:paraId="2DB21339" w14:textId="77777777" w:rsidR="00A60125" w:rsidRPr="00DF4F8A" w:rsidRDefault="00A60125" w:rsidP="00A60125">
      <w:pPr>
        <w:spacing w:before="240" w:after="120" w:line="240" w:lineRule="exact"/>
        <w:rPr>
          <w:b/>
          <w:i/>
          <w:sz w:val="18"/>
        </w:rPr>
      </w:pPr>
      <w:r w:rsidRPr="00DF4F8A">
        <w:rPr>
          <w:b/>
          <w:i/>
          <w:sz w:val="18"/>
        </w:rPr>
        <w:t>AVVERTENZE E PREREQUISITI</w:t>
      </w:r>
    </w:p>
    <w:p w14:paraId="23983D04" w14:textId="77777777" w:rsidR="00A60125" w:rsidRDefault="00A60125" w:rsidP="00A60125">
      <w:pPr>
        <w:pStyle w:val="Testo2"/>
      </w:pPr>
      <w:r w:rsidRPr="00DF4F8A">
        <w:lastRenderedPageBreak/>
        <w:t>Gli argomenti trattati durante le testimonianze di esperti esterni costituiscono materia d’esame.</w:t>
      </w:r>
    </w:p>
    <w:p w14:paraId="22697BA0" w14:textId="77777777" w:rsidR="009812D0" w:rsidRPr="00A60125" w:rsidRDefault="009812D0" w:rsidP="00A60125">
      <w:pPr>
        <w:pStyle w:val="Testo2"/>
      </w:pPr>
    </w:p>
    <w:sectPr w:rsidR="009812D0" w:rsidRPr="00A6012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1DA8E" w14:textId="77777777" w:rsidR="00F24357" w:rsidRDefault="00F24357" w:rsidP="00F24357">
      <w:pPr>
        <w:spacing w:line="240" w:lineRule="auto"/>
      </w:pPr>
      <w:r>
        <w:separator/>
      </w:r>
    </w:p>
  </w:endnote>
  <w:endnote w:type="continuationSeparator" w:id="0">
    <w:p w14:paraId="19820BDC" w14:textId="77777777" w:rsidR="00F24357" w:rsidRDefault="00F24357" w:rsidP="00F24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79E11" w14:textId="77777777" w:rsidR="00F24357" w:rsidRDefault="00F24357" w:rsidP="00F24357">
      <w:pPr>
        <w:spacing w:line="240" w:lineRule="auto"/>
      </w:pPr>
      <w:r>
        <w:separator/>
      </w:r>
    </w:p>
  </w:footnote>
  <w:footnote w:type="continuationSeparator" w:id="0">
    <w:p w14:paraId="18AFB7A6" w14:textId="77777777" w:rsidR="00F24357" w:rsidRDefault="00F24357" w:rsidP="00F24357">
      <w:pPr>
        <w:spacing w:line="240" w:lineRule="auto"/>
      </w:pPr>
      <w:r>
        <w:continuationSeparator/>
      </w:r>
    </w:p>
  </w:footnote>
  <w:footnote w:id="1">
    <w:p w14:paraId="6808F7D7" w14:textId="7BFE30DC" w:rsidR="00F24357" w:rsidRDefault="00F2435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2E91"/>
    <w:multiLevelType w:val="hybridMultilevel"/>
    <w:tmpl w:val="7A9661B0"/>
    <w:lvl w:ilvl="0" w:tplc="8CD06F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C5"/>
    <w:rsid w:val="00187B99"/>
    <w:rsid w:val="002014DD"/>
    <w:rsid w:val="002D5E17"/>
    <w:rsid w:val="00340037"/>
    <w:rsid w:val="0048199B"/>
    <w:rsid w:val="004B43C5"/>
    <w:rsid w:val="004D1217"/>
    <w:rsid w:val="004D6008"/>
    <w:rsid w:val="00573130"/>
    <w:rsid w:val="00640794"/>
    <w:rsid w:val="006F1772"/>
    <w:rsid w:val="007823ED"/>
    <w:rsid w:val="008942E7"/>
    <w:rsid w:val="008A1204"/>
    <w:rsid w:val="00900CCA"/>
    <w:rsid w:val="00924B77"/>
    <w:rsid w:val="00940DA2"/>
    <w:rsid w:val="009812D0"/>
    <w:rsid w:val="009E055C"/>
    <w:rsid w:val="00A000D7"/>
    <w:rsid w:val="00A60125"/>
    <w:rsid w:val="00A74F6F"/>
    <w:rsid w:val="00AD7557"/>
    <w:rsid w:val="00B50C5D"/>
    <w:rsid w:val="00B51253"/>
    <w:rsid w:val="00B525CC"/>
    <w:rsid w:val="00D404F2"/>
    <w:rsid w:val="00DF4F8A"/>
    <w:rsid w:val="00E607E6"/>
    <w:rsid w:val="00F2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C4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60125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F2435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24357"/>
  </w:style>
  <w:style w:type="character" w:styleId="Rimandonotaapidipagina">
    <w:name w:val="footnote reference"/>
    <w:basedOn w:val="Carpredefinitoparagrafo"/>
    <w:semiHidden/>
    <w:unhideWhenUsed/>
    <w:rsid w:val="00F24357"/>
    <w:rPr>
      <w:vertAlign w:val="superscript"/>
    </w:rPr>
  </w:style>
  <w:style w:type="character" w:styleId="Collegamentoipertestuale">
    <w:name w:val="Hyperlink"/>
    <w:basedOn w:val="Carpredefinitoparagrafo"/>
    <w:unhideWhenUsed/>
    <w:rsid w:val="00F243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60125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F2435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24357"/>
  </w:style>
  <w:style w:type="character" w:styleId="Rimandonotaapidipagina">
    <w:name w:val="footnote reference"/>
    <w:basedOn w:val="Carpredefinitoparagrafo"/>
    <w:semiHidden/>
    <w:unhideWhenUsed/>
    <w:rsid w:val="00F24357"/>
    <w:rPr>
      <w:vertAlign w:val="superscript"/>
    </w:rPr>
  </w:style>
  <w:style w:type="character" w:styleId="Collegamentoipertestuale">
    <w:name w:val="Hyperlink"/>
    <w:basedOn w:val="Carpredefinitoparagrafo"/>
    <w:unhideWhenUsed/>
    <w:rsid w:val="00F24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oriani-marco/il-family-office-9788846457615-17495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trattato-di-private-banking-e-wealth-management-9788820372842-23566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71AC4-988A-4354-B924-5FE8D020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621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2022-05-24T12:57:00Z</dcterms:created>
  <dcterms:modified xsi:type="dcterms:W3CDTF">2022-07-25T10:58:00Z</dcterms:modified>
</cp:coreProperties>
</file>