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E4758" w14:textId="77777777" w:rsidR="00A14840" w:rsidRDefault="00A14840" w:rsidP="00A14840">
      <w:pPr>
        <w:pStyle w:val="Didefault"/>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line="240" w:lineRule="exact"/>
        <w:ind w:left="284" w:hanging="284"/>
        <w:jc w:val="both"/>
        <w:outlineLvl w:val="0"/>
        <w:rPr>
          <w:rFonts w:ascii="Times" w:eastAsia="Times" w:hAnsi="Times" w:cs="Times"/>
          <w:b/>
          <w:bCs/>
          <w:sz w:val="20"/>
          <w:szCs w:val="20"/>
          <w:u w:color="000000"/>
        </w:rPr>
      </w:pPr>
      <w:r>
        <w:rPr>
          <w:rFonts w:ascii="Times" w:hAnsi="Times"/>
          <w:b/>
          <w:bCs/>
          <w:sz w:val="20"/>
          <w:szCs w:val="20"/>
          <w:u w:color="000000"/>
        </w:rPr>
        <w:t>Processi decisionali, negoziazione e leadership</w:t>
      </w:r>
    </w:p>
    <w:p w14:paraId="1C83ABC0" w14:textId="77777777" w:rsidR="00A14840" w:rsidRDefault="005626C8" w:rsidP="00A14840">
      <w:pPr>
        <w:pStyle w:val="Didefault"/>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jc w:val="both"/>
        <w:outlineLvl w:val="1"/>
        <w:rPr>
          <w:rFonts w:ascii="Times" w:eastAsia="Times" w:hAnsi="Times" w:cs="Times"/>
          <w:smallCaps/>
          <w:sz w:val="18"/>
          <w:szCs w:val="18"/>
          <w:u w:color="000000"/>
        </w:rPr>
      </w:pPr>
      <w:r>
        <w:rPr>
          <w:rFonts w:ascii="Times" w:hAnsi="Times"/>
          <w:smallCaps/>
          <w:sz w:val="18"/>
          <w:szCs w:val="18"/>
          <w:u w:color="000000"/>
        </w:rPr>
        <w:t xml:space="preserve">Prof. Domenico Bodega; </w:t>
      </w:r>
      <w:r w:rsidR="00A14840">
        <w:rPr>
          <w:rFonts w:ascii="Times" w:hAnsi="Times"/>
          <w:smallCaps/>
          <w:sz w:val="18"/>
          <w:szCs w:val="18"/>
          <w:u w:color="000000"/>
        </w:rPr>
        <w:t xml:space="preserve">Prof. </w:t>
      </w:r>
      <w:r w:rsidR="00A866CF">
        <w:rPr>
          <w:rFonts w:ascii="Times" w:hAnsi="Times"/>
          <w:smallCaps/>
          <w:sz w:val="18"/>
          <w:szCs w:val="18"/>
          <w:u w:color="000000"/>
        </w:rPr>
        <w:t>Anna Alessandra</w:t>
      </w:r>
      <w:r w:rsidR="00E341CB">
        <w:rPr>
          <w:rFonts w:ascii="Times" w:hAnsi="Times"/>
          <w:smallCaps/>
          <w:sz w:val="18"/>
          <w:szCs w:val="18"/>
          <w:u w:color="000000"/>
        </w:rPr>
        <w:t xml:space="preserve"> Michelangeli</w:t>
      </w:r>
    </w:p>
    <w:p w14:paraId="0260A1BF" w14:textId="77777777" w:rsidR="002D5E17" w:rsidRDefault="0045386F" w:rsidP="0045386F">
      <w:pPr>
        <w:spacing w:before="240" w:after="120"/>
        <w:rPr>
          <w:b/>
          <w:i/>
          <w:sz w:val="18"/>
        </w:rPr>
      </w:pPr>
      <w:r>
        <w:rPr>
          <w:b/>
          <w:i/>
          <w:sz w:val="18"/>
        </w:rPr>
        <w:t>OBIETTIVO DEL CORSO E RISULTATI DI APPRENDIMENTO ATTESI</w:t>
      </w:r>
    </w:p>
    <w:p w14:paraId="5029CA51" w14:textId="77777777" w:rsidR="00A14840" w:rsidRDefault="00A14840"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Unicode MS"/>
          <w:color w:val="000000"/>
          <w:szCs w:val="20"/>
          <w:u w:color="000000"/>
        </w:rPr>
      </w:pPr>
      <w:r>
        <w:rPr>
          <w:rFonts w:cs="Arial Unicode MS"/>
          <w:color w:val="000000"/>
          <w:szCs w:val="20"/>
          <w:u w:color="000000"/>
        </w:rPr>
        <w:t xml:space="preserve">I contenuti che caratterizzano il corso, decisione-negoziazione-leadership, rappresentano processi manageriali intangibili che nell’economia moderna e nelle relazioni tra agenti economici – siano essi individui, imprese, o istituzioni – hanno assunto un peso e uno spazio sempre più rilevanti. </w:t>
      </w:r>
    </w:p>
    <w:p w14:paraId="6E436C87" w14:textId="77777777" w:rsidR="00A14840" w:rsidRDefault="00A14840"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szCs w:val="20"/>
          <w:u w:color="000000"/>
        </w:rPr>
      </w:pPr>
      <w:r>
        <w:rPr>
          <w:rFonts w:cs="Arial Unicode MS"/>
          <w:color w:val="000000"/>
          <w:szCs w:val="20"/>
          <w:u w:color="000000"/>
        </w:rPr>
        <w:t>Anche la letteratura scientifica li ha esaminati e continuamente li rivisita, aggiornando teorie e prassi.</w:t>
      </w:r>
    </w:p>
    <w:p w14:paraId="2BA7657D" w14:textId="77777777" w:rsidR="00A14840" w:rsidRDefault="00A14840"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szCs w:val="20"/>
          <w:u w:color="000000"/>
        </w:rPr>
      </w:pPr>
      <w:r>
        <w:rPr>
          <w:rFonts w:cs="Arial Unicode MS"/>
          <w:color w:val="000000"/>
          <w:szCs w:val="20"/>
          <w:u w:color="000000"/>
        </w:rPr>
        <w:t>Il corso intende rispondere ai quesiti seguenti: quali sono le scelte (razionali e irrazionali) che conducono ad un processo decisionale soddisfacente? Come si interagisce con altri attori economici che a loro volta cercano di intraprendere tali decisioni? Come si svolge una negoziazione efficace? Come si riconoscono i comportamenti della leadership? Quali sono le condizioni di azione efficace della leadership in organizzazioni complesse?</w:t>
      </w:r>
    </w:p>
    <w:p w14:paraId="4FED3C5C" w14:textId="77777777" w:rsidR="00A14840" w:rsidRDefault="00A14840" w:rsidP="009566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szCs w:val="20"/>
          <w:u w:color="000000"/>
        </w:rPr>
      </w:pPr>
      <w:r>
        <w:rPr>
          <w:rFonts w:cs="Arial Unicode MS"/>
          <w:color w:val="000000"/>
          <w:szCs w:val="20"/>
          <w:u w:color="000000"/>
        </w:rPr>
        <w:t xml:space="preserve">Al termine del corso gli studenti: </w:t>
      </w:r>
    </w:p>
    <w:p w14:paraId="5B3167FE" w14:textId="77777777" w:rsidR="00A14840" w:rsidRDefault="00A14840" w:rsidP="00A14840">
      <w:pPr>
        <w:numPr>
          <w:ilvl w:val="0"/>
          <w:numId w:val="3"/>
        </w:numPr>
        <w:pBdr>
          <w:top w:val="nil"/>
          <w:left w:val="nil"/>
          <w:bottom w:val="nil"/>
          <w:right w:val="nil"/>
          <w:between w:val="nil"/>
          <w:bar w:val="nil"/>
        </w:pBdr>
        <w:ind w:left="284" w:hanging="284"/>
        <w:rPr>
          <w:rFonts w:cs="Arial Unicode MS"/>
          <w:color w:val="000000"/>
          <w:szCs w:val="20"/>
          <w:u w:color="000000"/>
        </w:rPr>
      </w:pPr>
      <w:r>
        <w:rPr>
          <w:rFonts w:cs="Arial Unicode MS"/>
          <w:color w:val="000000"/>
          <w:szCs w:val="20"/>
          <w:u w:color="000000"/>
        </w:rPr>
        <w:t>saranno in grado di comprendere le basi della teoria della scelta come modernizzata in economia, sapendo distinguere la parte “razionale” delle scelte dalle componenti irrazionali che comportano deviazioni rispetto alla teoria standard;</w:t>
      </w:r>
    </w:p>
    <w:p w14:paraId="116F5B8F" w14:textId="77777777" w:rsidR="00A14840" w:rsidRDefault="00A14840" w:rsidP="00A14840">
      <w:pPr>
        <w:numPr>
          <w:ilvl w:val="0"/>
          <w:numId w:val="3"/>
        </w:numPr>
        <w:pBdr>
          <w:top w:val="nil"/>
          <w:left w:val="nil"/>
          <w:bottom w:val="nil"/>
          <w:right w:val="nil"/>
          <w:between w:val="nil"/>
          <w:bar w:val="nil"/>
        </w:pBdr>
        <w:ind w:left="284" w:hanging="284"/>
        <w:rPr>
          <w:rFonts w:cs="Arial Unicode MS"/>
          <w:color w:val="000000"/>
          <w:szCs w:val="20"/>
          <w:u w:color="000000"/>
        </w:rPr>
      </w:pPr>
      <w:r>
        <w:rPr>
          <w:rFonts w:cs="Arial Unicode MS"/>
          <w:color w:val="000000"/>
          <w:szCs w:val="20"/>
          <w:u w:color="000000"/>
        </w:rPr>
        <w:t xml:space="preserve">sapranno applicare la teoria della scelta proposta all’analisi di casi sia di ambito aziendale sia economico più in generale. Saranno in grado di ridurre un problema di scelta molto complesso alle sue componenti di base essenziali per poter semplificare l’analisi della scelta da </w:t>
      </w:r>
      <w:r w:rsidR="00E93DA8">
        <w:rPr>
          <w:rFonts w:cs="Arial Unicode MS"/>
          <w:color w:val="000000"/>
          <w:szCs w:val="20"/>
          <w:u w:color="000000"/>
        </w:rPr>
        <w:t>intraprendere</w:t>
      </w:r>
      <w:r>
        <w:rPr>
          <w:rFonts w:cs="Arial Unicode MS"/>
          <w:color w:val="000000"/>
          <w:szCs w:val="20"/>
          <w:u w:color="000000"/>
        </w:rPr>
        <w:t>;</w:t>
      </w:r>
    </w:p>
    <w:p w14:paraId="78184015" w14:textId="77777777" w:rsidR="00A14840" w:rsidRDefault="00A14840" w:rsidP="00A14840">
      <w:pPr>
        <w:numPr>
          <w:ilvl w:val="0"/>
          <w:numId w:val="3"/>
        </w:numPr>
        <w:pBdr>
          <w:top w:val="nil"/>
          <w:left w:val="nil"/>
          <w:bottom w:val="nil"/>
          <w:right w:val="nil"/>
          <w:between w:val="nil"/>
          <w:bar w:val="nil"/>
        </w:pBdr>
        <w:ind w:left="284" w:hanging="284"/>
        <w:rPr>
          <w:rFonts w:cs="Arial Unicode MS"/>
          <w:color w:val="000000"/>
          <w:szCs w:val="20"/>
          <w:u w:color="000000"/>
        </w:rPr>
      </w:pPr>
      <w:r>
        <w:rPr>
          <w:rFonts w:cs="Arial Unicode MS"/>
          <w:color w:val="000000"/>
          <w:szCs w:val="20"/>
          <w:u w:color="000000"/>
        </w:rPr>
        <w:t>saranno autonomi valutare la bontà delle scelte che in vari contesti gli attori economici possono prendere;</w:t>
      </w:r>
    </w:p>
    <w:p w14:paraId="555F5C3D" w14:textId="77777777" w:rsidR="00A14840" w:rsidRDefault="00A14840" w:rsidP="00A14840">
      <w:pPr>
        <w:numPr>
          <w:ilvl w:val="0"/>
          <w:numId w:val="3"/>
        </w:numPr>
        <w:pBdr>
          <w:top w:val="nil"/>
          <w:left w:val="nil"/>
          <w:bottom w:val="nil"/>
          <w:right w:val="nil"/>
          <w:between w:val="nil"/>
          <w:bar w:val="nil"/>
        </w:pBdr>
        <w:ind w:left="284" w:hanging="284"/>
        <w:rPr>
          <w:rFonts w:cs="Arial Unicode MS"/>
          <w:color w:val="000000"/>
          <w:szCs w:val="20"/>
          <w:u w:color="000000"/>
        </w:rPr>
      </w:pPr>
      <w:r>
        <w:rPr>
          <w:rFonts w:cs="Arial Unicode MS"/>
          <w:color w:val="000000"/>
          <w:szCs w:val="20"/>
          <w:u w:color="000000"/>
        </w:rPr>
        <w:t xml:space="preserve">acquisiranno idonea terminologia economica sia italiana che inglese tecnicamente appropriata e chiara per comunicare a platee di specialisti e non; </w:t>
      </w:r>
    </w:p>
    <w:p w14:paraId="46627EAE" w14:textId="77777777" w:rsidR="00A14840" w:rsidRDefault="00A14840" w:rsidP="00A14840">
      <w:pPr>
        <w:numPr>
          <w:ilvl w:val="0"/>
          <w:numId w:val="3"/>
        </w:numPr>
        <w:pBdr>
          <w:top w:val="nil"/>
          <w:left w:val="nil"/>
          <w:bottom w:val="nil"/>
          <w:right w:val="nil"/>
          <w:between w:val="nil"/>
          <w:bar w:val="nil"/>
        </w:pBdr>
        <w:ind w:left="284" w:hanging="284"/>
        <w:rPr>
          <w:rFonts w:cs="Arial Unicode MS"/>
          <w:color w:val="000000"/>
          <w:szCs w:val="20"/>
          <w:u w:color="000000"/>
        </w:rPr>
      </w:pPr>
      <w:r>
        <w:rPr>
          <w:rFonts w:cs="Arial Unicode MS"/>
          <w:color w:val="000000"/>
          <w:szCs w:val="20"/>
          <w:u w:color="000000"/>
        </w:rPr>
        <w:t>porranno le basi per un approfondimento successivo delle teorie che guidano le scelte economiche in contesti complessi.</w:t>
      </w:r>
    </w:p>
    <w:p w14:paraId="4BA2AFFA" w14:textId="77777777" w:rsidR="0045386F" w:rsidRDefault="0045386F" w:rsidP="0045386F">
      <w:pPr>
        <w:spacing w:before="240" w:after="120"/>
        <w:rPr>
          <w:b/>
          <w:i/>
          <w:sz w:val="18"/>
        </w:rPr>
      </w:pPr>
      <w:r>
        <w:rPr>
          <w:b/>
          <w:i/>
          <w:sz w:val="18"/>
        </w:rPr>
        <w:t>PROGRAMMA DEL CORSO</w:t>
      </w:r>
    </w:p>
    <w:p w14:paraId="3B45F0B3" w14:textId="77777777" w:rsidR="00A14840" w:rsidRDefault="00A14840"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szCs w:val="20"/>
          <w:u w:color="000000"/>
        </w:rPr>
      </w:pPr>
      <w:r>
        <w:rPr>
          <w:rFonts w:cs="Arial Unicode MS"/>
          <w:smallCaps/>
          <w:color w:val="000000"/>
          <w:sz w:val="18"/>
          <w:szCs w:val="18"/>
          <w:u w:color="000000"/>
        </w:rPr>
        <w:t>I Modulo</w:t>
      </w:r>
      <w:r>
        <w:rPr>
          <w:rFonts w:cs="Arial Unicode MS"/>
          <w:color w:val="000000"/>
          <w:szCs w:val="20"/>
          <w:u w:color="000000"/>
        </w:rPr>
        <w:t xml:space="preserve">: </w:t>
      </w:r>
      <w:r>
        <w:rPr>
          <w:rFonts w:cs="Arial Unicode MS"/>
          <w:i/>
          <w:iCs/>
          <w:color w:val="000000"/>
          <w:szCs w:val="20"/>
          <w:u w:color="000000"/>
        </w:rPr>
        <w:t>I processi di leadership</w:t>
      </w:r>
      <w:r>
        <w:rPr>
          <w:rFonts w:cs="Arial Unicode MS"/>
          <w:color w:val="000000"/>
          <w:szCs w:val="20"/>
          <w:u w:color="000000"/>
        </w:rPr>
        <w:t xml:space="preserve"> (Prof. Domenico Bodega)</w:t>
      </w:r>
    </w:p>
    <w:p w14:paraId="052FC591" w14:textId="77777777" w:rsidR="00A14840" w:rsidRDefault="00A14840"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szCs w:val="20"/>
          <w:u w:color="000000"/>
        </w:rPr>
      </w:pPr>
      <w:r>
        <w:rPr>
          <w:rFonts w:cs="Arial Unicode MS"/>
          <w:color w:val="000000"/>
          <w:szCs w:val="20"/>
          <w:u w:color="000000"/>
        </w:rPr>
        <w:t xml:space="preserve">Il modulo approfondisce i problemi legati alla responsabilità dei processi decisionali e negoziali nelle aziende moderne. In particolare si affronteranno le principali teorie afferenti la leadership, l’analisi dei differenti stili di decisione e </w:t>
      </w:r>
      <w:r>
        <w:rPr>
          <w:rFonts w:cs="Arial Unicode MS"/>
          <w:color w:val="000000"/>
          <w:szCs w:val="20"/>
          <w:u w:color="000000"/>
        </w:rPr>
        <w:lastRenderedPageBreak/>
        <w:t>delle principali competenze relative ai ruoli manageriali e di leadership. Si identificheranno i criteri di valutazione di un’efficace espressione dei processi di leadership e gli errori sistematici che nelle organizzazioni di piccole e grandi dimensioni sono imputabili agli organi di governo economico.</w:t>
      </w:r>
    </w:p>
    <w:p w14:paraId="14BB0A8B" w14:textId="77777777" w:rsidR="00A14840" w:rsidRDefault="00A14840"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rPr>
          <w:color w:val="000000"/>
          <w:szCs w:val="20"/>
          <w:u w:color="000000"/>
        </w:rPr>
      </w:pPr>
      <w:r>
        <w:rPr>
          <w:rFonts w:cs="Arial Unicode MS"/>
          <w:smallCaps/>
          <w:color w:val="000000"/>
          <w:sz w:val="18"/>
          <w:szCs w:val="18"/>
          <w:u w:color="000000"/>
        </w:rPr>
        <w:t>II Modulo</w:t>
      </w:r>
      <w:r>
        <w:rPr>
          <w:rFonts w:cs="Arial Unicode MS"/>
          <w:color w:val="000000"/>
          <w:szCs w:val="20"/>
          <w:u w:color="000000"/>
        </w:rPr>
        <w:t xml:space="preserve">: </w:t>
      </w:r>
      <w:r>
        <w:rPr>
          <w:rFonts w:cs="Arial Unicode MS"/>
          <w:i/>
          <w:iCs/>
          <w:color w:val="000000"/>
          <w:szCs w:val="20"/>
          <w:u w:color="000000"/>
        </w:rPr>
        <w:t>I processi decisionali</w:t>
      </w:r>
      <w:r>
        <w:rPr>
          <w:rFonts w:cs="Arial Unicode MS"/>
          <w:color w:val="000000"/>
          <w:szCs w:val="20"/>
          <w:u w:color="000000"/>
        </w:rPr>
        <w:t xml:space="preserve"> (Prof. </w:t>
      </w:r>
      <w:r w:rsidR="005F73E5">
        <w:rPr>
          <w:rFonts w:cs="Arial Unicode MS"/>
          <w:color w:val="000000"/>
          <w:szCs w:val="20"/>
          <w:u w:color="000000"/>
        </w:rPr>
        <w:t>Anna Alessandra Michelangeli</w:t>
      </w:r>
      <w:r>
        <w:rPr>
          <w:rFonts w:cs="Arial Unicode MS"/>
          <w:color w:val="000000"/>
          <w:szCs w:val="20"/>
          <w:u w:color="000000"/>
        </w:rPr>
        <w:t>)</w:t>
      </w:r>
    </w:p>
    <w:p w14:paraId="6690392E" w14:textId="77777777" w:rsidR="00A14840" w:rsidRDefault="00A14840"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szCs w:val="20"/>
          <w:u w:color="000000"/>
        </w:rPr>
      </w:pPr>
      <w:r>
        <w:rPr>
          <w:rFonts w:cs="Arial Unicode MS"/>
          <w:color w:val="000000"/>
          <w:szCs w:val="20"/>
          <w:u w:color="000000"/>
        </w:rPr>
        <w:t>Il modulo approfondisce la teoria economica alla base dei comportamenti degli agenti economici e dei loro processi decisionali. Ciò richiede di studiare in modo scientifico le relazioni tra agenti economici e, in particolare, le motivazioni razionali e irrazionali che hanno condotto a tali relazioni. L’interazione tra agenti economici verrà analizzata utilizzando gli strumenti della teoria comportamentale delle decisioni (in condizioni di incertezza), delle teorie di diffusione delle conoscenze in reti sociali e della teoria dei giochi. Con riferimento a quest’ultima, si studierà come un agente economico possa beneficiare dalla sua capacità di modificare opportunamente il «gioco» che sarà poi chiamato a realizzare nei processi di negoziazione e di guida nei confronti di altri agenti economici.</w:t>
      </w:r>
    </w:p>
    <w:p w14:paraId="45EE8CE0" w14:textId="77777777" w:rsidR="0045386F" w:rsidRDefault="0045386F" w:rsidP="0045386F">
      <w:pPr>
        <w:keepNext/>
        <w:spacing w:before="240" w:after="120"/>
        <w:rPr>
          <w:b/>
          <w:i/>
          <w:sz w:val="18"/>
        </w:rPr>
      </w:pPr>
      <w:r>
        <w:rPr>
          <w:b/>
          <w:i/>
          <w:sz w:val="18"/>
        </w:rPr>
        <w:t>BIBLIOGRAFIA</w:t>
      </w:r>
      <w:r w:rsidR="008A7524">
        <w:rPr>
          <w:rStyle w:val="Rimandonotaapidipagina"/>
          <w:b/>
          <w:i/>
          <w:sz w:val="18"/>
        </w:rPr>
        <w:footnoteReference w:id="1"/>
      </w:r>
    </w:p>
    <w:p w14:paraId="6B9F4E2E" w14:textId="77777777" w:rsidR="00A14840" w:rsidRPr="00CC1669" w:rsidRDefault="005626C8"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20" w:lineRule="exact"/>
        <w:ind w:left="284" w:hanging="284"/>
        <w:rPr>
          <w:rFonts w:ascii="Times" w:eastAsia="Times" w:hAnsi="Times" w:cs="Times"/>
          <w:color w:val="000000"/>
          <w:sz w:val="18"/>
          <w:szCs w:val="18"/>
          <w:u w:color="000000"/>
        </w:rPr>
      </w:pPr>
      <w:r>
        <w:rPr>
          <w:rFonts w:ascii="Times" w:hAnsi="Times" w:cs="Arial Unicode MS"/>
          <w:color w:val="000000"/>
          <w:sz w:val="18"/>
          <w:szCs w:val="18"/>
          <w:u w:color="000000"/>
        </w:rPr>
        <w:tab/>
      </w:r>
      <w:r w:rsidR="00A14840">
        <w:rPr>
          <w:rFonts w:ascii="Times" w:hAnsi="Times" w:cs="Arial Unicode MS"/>
          <w:color w:val="000000"/>
          <w:sz w:val="18"/>
          <w:szCs w:val="18"/>
          <w:u w:color="000000"/>
        </w:rPr>
        <w:t>Per il primo modulo</w:t>
      </w:r>
    </w:p>
    <w:p w14:paraId="59872EA0" w14:textId="625C68CE" w:rsidR="00A14840" w:rsidRPr="00CC1669" w:rsidRDefault="00A14840"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284" w:hanging="284"/>
        <w:rPr>
          <w:rFonts w:ascii="Times" w:eastAsia="Times" w:hAnsi="Times" w:cs="Times"/>
          <w:color w:val="000000"/>
          <w:spacing w:val="-5"/>
          <w:sz w:val="18"/>
          <w:szCs w:val="18"/>
          <w:u w:color="000000"/>
        </w:rPr>
      </w:pPr>
      <w:r>
        <w:rPr>
          <w:rFonts w:ascii="Times" w:hAnsi="Times" w:cs="Arial Unicode MS"/>
          <w:smallCaps/>
          <w:color w:val="000000"/>
          <w:spacing w:val="-5"/>
          <w:sz w:val="16"/>
          <w:szCs w:val="16"/>
          <w:u w:color="000000"/>
        </w:rPr>
        <w:t>AA.VV.,</w:t>
      </w:r>
      <w:r>
        <w:rPr>
          <w:rFonts w:ascii="Times" w:hAnsi="Times" w:cs="Arial Unicode MS"/>
          <w:i/>
          <w:iCs/>
          <w:color w:val="000000"/>
          <w:spacing w:val="-5"/>
          <w:sz w:val="18"/>
          <w:szCs w:val="18"/>
          <w:u w:color="000000"/>
        </w:rPr>
        <w:t xml:space="preserve"> La Negoziazione,</w:t>
      </w:r>
      <w:r>
        <w:rPr>
          <w:rFonts w:ascii="Times" w:hAnsi="Times" w:cs="Arial Unicode MS"/>
          <w:color w:val="000000"/>
          <w:spacing w:val="-5"/>
          <w:sz w:val="18"/>
          <w:szCs w:val="18"/>
          <w:u w:color="000000"/>
        </w:rPr>
        <w:t xml:space="preserve"> Harvard Business School, </w:t>
      </w:r>
      <w:proofErr w:type="spellStart"/>
      <w:r>
        <w:rPr>
          <w:rFonts w:ascii="Times" w:hAnsi="Times" w:cs="Arial Unicode MS"/>
          <w:color w:val="000000"/>
          <w:spacing w:val="-5"/>
          <w:sz w:val="18"/>
          <w:szCs w:val="18"/>
          <w:u w:color="000000"/>
        </w:rPr>
        <w:t>Etas</w:t>
      </w:r>
      <w:proofErr w:type="spellEnd"/>
      <w:r>
        <w:rPr>
          <w:rFonts w:ascii="Times" w:hAnsi="Times" w:cs="Arial Unicode MS"/>
          <w:color w:val="000000"/>
          <w:spacing w:val="-5"/>
          <w:sz w:val="18"/>
          <w:szCs w:val="18"/>
          <w:u w:color="000000"/>
        </w:rPr>
        <w:t xml:space="preserve"> Libri, Milano, 2003.</w:t>
      </w:r>
    </w:p>
    <w:p w14:paraId="321489F7" w14:textId="5C12C8A3" w:rsidR="00A14840" w:rsidRPr="00CC1669" w:rsidRDefault="00A14840"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284" w:hanging="284"/>
        <w:rPr>
          <w:b/>
          <w:bCs/>
          <w:i/>
          <w:iCs/>
          <w:color w:val="000000"/>
          <w:sz w:val="18"/>
          <w:szCs w:val="18"/>
          <w:u w:color="000000"/>
        </w:rPr>
      </w:pPr>
      <w:r>
        <w:rPr>
          <w:rFonts w:ascii="Times" w:hAnsi="Times" w:cs="Arial Unicode MS"/>
          <w:smallCaps/>
          <w:color w:val="000000"/>
          <w:spacing w:val="-5"/>
          <w:sz w:val="16"/>
          <w:szCs w:val="16"/>
          <w:u w:color="000000"/>
        </w:rPr>
        <w:t>D. Bodega,</w:t>
      </w:r>
      <w:r>
        <w:rPr>
          <w:rFonts w:ascii="Times" w:hAnsi="Times" w:cs="Arial Unicode MS"/>
          <w:i/>
          <w:iCs/>
          <w:color w:val="000000"/>
          <w:spacing w:val="-5"/>
          <w:sz w:val="18"/>
          <w:szCs w:val="18"/>
          <w:u w:color="000000"/>
        </w:rPr>
        <w:t xml:space="preserve"> Le forme della Leadership,</w:t>
      </w:r>
      <w:r>
        <w:rPr>
          <w:rFonts w:ascii="Times" w:hAnsi="Times" w:cs="Arial Unicode MS"/>
          <w:color w:val="000000"/>
          <w:spacing w:val="-5"/>
          <w:sz w:val="18"/>
          <w:szCs w:val="18"/>
          <w:u w:color="000000"/>
        </w:rPr>
        <w:t xml:space="preserve"> </w:t>
      </w:r>
      <w:proofErr w:type="spellStart"/>
      <w:r>
        <w:rPr>
          <w:rFonts w:ascii="Times" w:hAnsi="Times" w:cs="Arial Unicode MS"/>
          <w:color w:val="000000"/>
          <w:spacing w:val="-5"/>
          <w:sz w:val="18"/>
          <w:szCs w:val="18"/>
          <w:u w:color="000000"/>
        </w:rPr>
        <w:t>Etas</w:t>
      </w:r>
      <w:proofErr w:type="spellEnd"/>
      <w:r>
        <w:rPr>
          <w:rFonts w:ascii="Times" w:hAnsi="Times" w:cs="Arial Unicode MS"/>
          <w:color w:val="000000"/>
          <w:spacing w:val="-5"/>
          <w:sz w:val="18"/>
          <w:szCs w:val="18"/>
          <w:u w:color="000000"/>
        </w:rPr>
        <w:t xml:space="preserve"> Libri, Milano.</w:t>
      </w:r>
      <w:r w:rsidR="008A7524">
        <w:rPr>
          <w:rFonts w:ascii="Times" w:hAnsi="Times" w:cs="Arial Unicode MS"/>
          <w:color w:val="000000"/>
          <w:spacing w:val="-5"/>
          <w:sz w:val="18"/>
          <w:szCs w:val="18"/>
          <w:u w:color="000000"/>
        </w:rPr>
        <w:t xml:space="preserve"> </w:t>
      </w:r>
      <w:r w:rsidR="009035CB">
        <w:rPr>
          <w:rFonts w:ascii="Times" w:hAnsi="Times" w:cs="Arial Unicode MS"/>
          <w:color w:val="000000"/>
          <w:spacing w:val="-5"/>
          <w:sz w:val="18"/>
          <w:szCs w:val="18"/>
          <w:u w:color="000000"/>
        </w:rPr>
        <w:t xml:space="preserve"> </w:t>
      </w:r>
      <w:hyperlink r:id="rId10" w:history="1">
        <w:r w:rsidR="009035CB" w:rsidRPr="009035CB">
          <w:rPr>
            <w:rStyle w:val="Collegamentoipertestuale"/>
            <w:i/>
            <w:sz w:val="16"/>
            <w:szCs w:val="16"/>
          </w:rPr>
          <w:t>Acquista da VP</w:t>
        </w:r>
      </w:hyperlink>
    </w:p>
    <w:p w14:paraId="58FD9A67" w14:textId="77777777" w:rsidR="00A14840" w:rsidRPr="00CC1669" w:rsidRDefault="005626C8"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20" w:lineRule="exact"/>
        <w:ind w:left="284" w:hanging="284"/>
        <w:rPr>
          <w:rFonts w:ascii="Times" w:eastAsia="Times" w:hAnsi="Times" w:cs="Times"/>
          <w:color w:val="000000"/>
          <w:sz w:val="18"/>
          <w:szCs w:val="18"/>
          <w:u w:color="000000"/>
        </w:rPr>
      </w:pPr>
      <w:r>
        <w:rPr>
          <w:rFonts w:ascii="Times" w:hAnsi="Times" w:cs="Arial Unicode MS"/>
          <w:color w:val="000000"/>
          <w:sz w:val="18"/>
          <w:szCs w:val="18"/>
          <w:u w:color="000000"/>
        </w:rPr>
        <w:tab/>
      </w:r>
      <w:r w:rsidR="00A14840">
        <w:rPr>
          <w:rFonts w:ascii="Times" w:hAnsi="Times" w:cs="Arial Unicode MS"/>
          <w:color w:val="000000"/>
          <w:sz w:val="18"/>
          <w:szCs w:val="18"/>
          <w:u w:color="000000"/>
        </w:rPr>
        <w:t>Per il secondo modulo</w:t>
      </w:r>
    </w:p>
    <w:p w14:paraId="14193ACF" w14:textId="790357A0" w:rsidR="00A14840" w:rsidRPr="005F73E5" w:rsidRDefault="00A14840" w:rsidP="002B11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284" w:hanging="284"/>
        <w:rPr>
          <w:rFonts w:ascii="Times" w:eastAsia="Times" w:hAnsi="Times" w:cs="Times"/>
          <w:color w:val="000000"/>
          <w:spacing w:val="-5"/>
          <w:sz w:val="18"/>
          <w:szCs w:val="18"/>
          <w:u w:color="000000"/>
        </w:rPr>
      </w:pPr>
      <w:r>
        <w:rPr>
          <w:rFonts w:ascii="Times" w:hAnsi="Times" w:cs="Arial Unicode MS"/>
          <w:smallCaps/>
          <w:color w:val="000000"/>
          <w:spacing w:val="-5"/>
          <w:sz w:val="16"/>
          <w:szCs w:val="16"/>
          <w:u w:color="000000"/>
        </w:rPr>
        <w:t>A. Dixit-J. Nalebluff,</w:t>
      </w:r>
      <w:r>
        <w:rPr>
          <w:rFonts w:ascii="Times" w:hAnsi="Times" w:cs="Arial Unicode MS"/>
          <w:i/>
          <w:iCs/>
          <w:color w:val="000000"/>
          <w:spacing w:val="-5"/>
          <w:sz w:val="18"/>
          <w:szCs w:val="18"/>
          <w:u w:color="000000"/>
        </w:rPr>
        <w:t xml:space="preserve"> L’arte della strategia,</w:t>
      </w:r>
      <w:r>
        <w:rPr>
          <w:rFonts w:ascii="Times" w:hAnsi="Times" w:cs="Arial Unicode MS"/>
          <w:color w:val="000000"/>
          <w:spacing w:val="-5"/>
          <w:sz w:val="18"/>
          <w:szCs w:val="18"/>
          <w:u w:color="000000"/>
        </w:rPr>
        <w:t xml:space="preserve"> TEA, 2010.</w:t>
      </w:r>
      <w:r w:rsidR="008A7524">
        <w:rPr>
          <w:rFonts w:ascii="Times" w:hAnsi="Times" w:cs="Arial Unicode MS"/>
          <w:color w:val="000000"/>
          <w:spacing w:val="-5"/>
          <w:sz w:val="18"/>
          <w:szCs w:val="18"/>
          <w:u w:color="000000"/>
        </w:rPr>
        <w:t xml:space="preserve"> </w:t>
      </w:r>
      <w:r w:rsidR="009035CB">
        <w:rPr>
          <w:rFonts w:ascii="Times" w:hAnsi="Times" w:cs="Arial Unicode MS"/>
          <w:color w:val="000000"/>
          <w:spacing w:val="-5"/>
          <w:sz w:val="18"/>
          <w:szCs w:val="18"/>
          <w:u w:color="000000"/>
        </w:rPr>
        <w:t xml:space="preserve"> </w:t>
      </w:r>
      <w:hyperlink r:id="rId11" w:history="1">
        <w:r w:rsidR="009035CB" w:rsidRPr="009035CB">
          <w:rPr>
            <w:rStyle w:val="Collegamentoipertestuale"/>
            <w:i/>
            <w:sz w:val="16"/>
            <w:szCs w:val="16"/>
          </w:rPr>
          <w:t>Acquista da VP</w:t>
        </w:r>
      </w:hyperlink>
      <w:bookmarkStart w:id="0" w:name="_GoBack"/>
      <w:bookmarkEnd w:id="0"/>
    </w:p>
    <w:p w14:paraId="26F1E56D" w14:textId="77777777" w:rsidR="00712901" w:rsidRPr="00A14840" w:rsidRDefault="00A14840" w:rsidP="00A14840">
      <w:pPr>
        <w:pStyle w:val="Testo1"/>
        <w:spacing w:line="240" w:lineRule="atLeast"/>
        <w:rPr>
          <w:rFonts w:ascii="Times New Roman" w:eastAsia="Calibri" w:hAnsi="Times New Roman"/>
          <w:noProof w:val="0"/>
          <w:szCs w:val="22"/>
          <w:lang w:eastAsia="en-US"/>
        </w:rPr>
      </w:pPr>
      <w:r w:rsidRPr="00A14840">
        <w:rPr>
          <w:rFonts w:ascii="Times New Roman" w:eastAsia="Calibri" w:hAnsi="Times New Roman"/>
          <w:noProof w:val="0"/>
          <w:szCs w:val="22"/>
          <w:lang w:eastAsia="en-US"/>
        </w:rPr>
        <w:t>Articoli, casi di studio e materiale di approfondimento sono resi disponibili in aula e on-line sulla piattaforma Blackboard riservata agli studenti iscritti all’insegnamento.</w:t>
      </w:r>
    </w:p>
    <w:p w14:paraId="28FB525A" w14:textId="77777777" w:rsidR="0045386F" w:rsidRDefault="0045386F" w:rsidP="0045386F">
      <w:pPr>
        <w:spacing w:before="240" w:after="120"/>
        <w:rPr>
          <w:b/>
          <w:i/>
          <w:sz w:val="18"/>
        </w:rPr>
      </w:pPr>
      <w:r>
        <w:rPr>
          <w:b/>
          <w:i/>
          <w:sz w:val="18"/>
        </w:rPr>
        <w:t>DIDATTICA DEL CORSO</w:t>
      </w:r>
    </w:p>
    <w:p w14:paraId="4C9312AC" w14:textId="77777777" w:rsidR="00A14840" w:rsidRPr="00CC1669" w:rsidRDefault="00A14840"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20" w:lineRule="exact"/>
        <w:ind w:firstLine="284"/>
        <w:rPr>
          <w:rFonts w:ascii="Times" w:eastAsia="Times" w:hAnsi="Times" w:cs="Times"/>
          <w:color w:val="000000"/>
          <w:sz w:val="18"/>
          <w:szCs w:val="18"/>
          <w:u w:color="000000"/>
        </w:rPr>
      </w:pPr>
      <w:r>
        <w:rPr>
          <w:rFonts w:ascii="Times" w:hAnsi="Times" w:cs="Arial Unicode MS"/>
          <w:color w:val="000000"/>
          <w:sz w:val="18"/>
          <w:szCs w:val="18"/>
          <w:u w:color="000000"/>
        </w:rPr>
        <w:t>Lezioni frontali e analisi di casi aziendali attraverso discussioni in aula e testimonianze.</w:t>
      </w:r>
    </w:p>
    <w:p w14:paraId="4140315E" w14:textId="77777777" w:rsidR="0045386F" w:rsidRDefault="0045386F" w:rsidP="0045386F">
      <w:pPr>
        <w:spacing w:before="240" w:after="120"/>
        <w:rPr>
          <w:b/>
          <w:i/>
          <w:sz w:val="18"/>
        </w:rPr>
      </w:pPr>
      <w:r>
        <w:rPr>
          <w:b/>
          <w:i/>
          <w:sz w:val="18"/>
        </w:rPr>
        <w:t>METODO E CRITERI DI VALUTAZIONE</w:t>
      </w:r>
    </w:p>
    <w:p w14:paraId="56B2B7AB" w14:textId="77777777" w:rsidR="00A14840" w:rsidRPr="00A14840" w:rsidRDefault="00A14840"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20" w:lineRule="exact"/>
        <w:ind w:firstLine="284"/>
        <w:rPr>
          <w:rFonts w:ascii="Times" w:hAnsi="Times" w:cs="Arial Unicode MS"/>
          <w:color w:val="000000"/>
          <w:sz w:val="18"/>
          <w:szCs w:val="18"/>
          <w:u w:color="000000"/>
        </w:rPr>
      </w:pPr>
      <w:r>
        <w:rPr>
          <w:rFonts w:ascii="Times" w:hAnsi="Times" w:cs="Arial Unicode MS"/>
          <w:color w:val="000000"/>
          <w:sz w:val="18"/>
          <w:szCs w:val="18"/>
          <w:u w:color="000000"/>
        </w:rPr>
        <w:t xml:space="preserve">Per gli studenti </w:t>
      </w:r>
      <w:r w:rsidRPr="00A14840">
        <w:rPr>
          <w:rFonts w:ascii="Times" w:hAnsi="Times" w:cs="Arial Unicode MS"/>
          <w:i/>
          <w:color w:val="000000"/>
          <w:sz w:val="18"/>
          <w:szCs w:val="18"/>
          <w:u w:color="000000"/>
        </w:rPr>
        <w:t>frequentanti</w:t>
      </w:r>
      <w:r>
        <w:rPr>
          <w:rFonts w:ascii="Times" w:hAnsi="Times" w:cs="Arial Unicode MS"/>
          <w:color w:val="000000"/>
          <w:sz w:val="18"/>
          <w:szCs w:val="18"/>
          <w:u w:color="000000"/>
        </w:rPr>
        <w:t xml:space="preserve"> la valutazione finale si compone di una prova scritta basata sulla </w:t>
      </w:r>
      <w:r w:rsidRPr="00A14840">
        <w:rPr>
          <w:rFonts w:ascii="Times" w:hAnsi="Times" w:cs="Arial Unicode MS"/>
          <w:i/>
          <w:color w:val="000000"/>
          <w:sz w:val="18"/>
          <w:szCs w:val="18"/>
          <w:u w:color="000000"/>
        </w:rPr>
        <w:t>conoscenza dei principali modelli e delle teorie proposti in aula e sull’analisi di situazioni e di casi aziendali</w:t>
      </w:r>
      <w:r>
        <w:rPr>
          <w:rFonts w:ascii="Times" w:hAnsi="Times" w:cs="Arial Unicode MS"/>
          <w:color w:val="000000"/>
          <w:sz w:val="18"/>
          <w:szCs w:val="18"/>
          <w:u w:color="000000"/>
        </w:rPr>
        <w:t>, la quale sarà</w:t>
      </w:r>
      <w:r w:rsidRPr="00A14840">
        <w:rPr>
          <w:rFonts w:ascii="Times" w:hAnsi="Times" w:cs="Arial Unicode MS"/>
          <w:color w:val="000000"/>
          <w:sz w:val="18"/>
          <w:szCs w:val="18"/>
          <w:u w:color="000000"/>
        </w:rPr>
        <w:t xml:space="preserve"> </w:t>
      </w:r>
      <w:r>
        <w:rPr>
          <w:rFonts w:ascii="Times" w:hAnsi="Times" w:cs="Arial Unicode MS"/>
          <w:color w:val="000000"/>
          <w:sz w:val="18"/>
          <w:szCs w:val="18"/>
          <w:u w:color="000000"/>
        </w:rPr>
        <w:t>necessariamente sostenuta nel primo appello della sessione invernale.</w:t>
      </w:r>
    </w:p>
    <w:p w14:paraId="213CF0C4" w14:textId="77777777" w:rsidR="00A14840" w:rsidRDefault="00A14840"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20" w:lineRule="exact"/>
        <w:ind w:firstLine="284"/>
        <w:rPr>
          <w:rFonts w:ascii="Times" w:hAnsi="Times" w:cs="Arial Unicode MS"/>
          <w:color w:val="000000"/>
          <w:sz w:val="18"/>
          <w:szCs w:val="18"/>
          <w:u w:color="000000"/>
        </w:rPr>
      </w:pPr>
      <w:r>
        <w:rPr>
          <w:rFonts w:ascii="Times" w:hAnsi="Times" w:cs="Arial Unicode MS"/>
          <w:color w:val="000000"/>
          <w:sz w:val="18"/>
          <w:szCs w:val="18"/>
          <w:u w:color="000000"/>
        </w:rPr>
        <w:t xml:space="preserve">Per gli studenti </w:t>
      </w:r>
      <w:r w:rsidRPr="00A14840">
        <w:rPr>
          <w:rFonts w:ascii="Times" w:hAnsi="Times" w:cs="Arial Unicode MS"/>
          <w:i/>
          <w:color w:val="000000"/>
          <w:sz w:val="18"/>
          <w:szCs w:val="18"/>
          <w:u w:color="000000"/>
        </w:rPr>
        <w:t>non frequentanti</w:t>
      </w:r>
      <w:r>
        <w:rPr>
          <w:rFonts w:ascii="Times" w:hAnsi="Times" w:cs="Arial Unicode MS"/>
          <w:color w:val="000000"/>
          <w:sz w:val="18"/>
          <w:szCs w:val="18"/>
          <w:u w:color="000000"/>
        </w:rPr>
        <w:t xml:space="preserve"> la valutazione finale si compone di una prova scritta basata sui contenuti dei testi di riferimento.</w:t>
      </w:r>
    </w:p>
    <w:p w14:paraId="39ED5A48" w14:textId="77777777" w:rsidR="00A14840" w:rsidRPr="00541253" w:rsidRDefault="00A14840" w:rsidP="005626C8">
      <w:pPr>
        <w:pStyle w:val="Testo2"/>
        <w:ind w:firstLine="0"/>
      </w:pPr>
      <w:r w:rsidRPr="00541253">
        <w:t xml:space="preserve">I </w:t>
      </w:r>
      <w:r w:rsidRPr="00A14840">
        <w:rPr>
          <w:i/>
        </w:rPr>
        <w:t>criteri di valutazione</w:t>
      </w:r>
      <w:r w:rsidRPr="00541253">
        <w:t xml:space="preserve"> prevalentemente utilizzati saranno i seguenti:</w:t>
      </w:r>
    </w:p>
    <w:p w14:paraId="61AD5625" w14:textId="77777777" w:rsidR="00A14840" w:rsidRPr="00541253" w:rsidRDefault="00A14840" w:rsidP="00A14840">
      <w:pPr>
        <w:pStyle w:val="Testo2"/>
        <w:tabs>
          <w:tab w:val="clear" w:pos="284"/>
        </w:tabs>
        <w:ind w:left="567" w:hanging="283"/>
      </w:pPr>
      <w:r>
        <w:lastRenderedPageBreak/>
        <w:t>–</w:t>
      </w:r>
      <w:r>
        <w:tab/>
      </w:r>
      <w:r w:rsidRPr="00541253">
        <w:t xml:space="preserve">acquisizione solida delle conoscenze relative ai diversi </w:t>
      </w:r>
      <w:r>
        <w:t>contenuti;</w:t>
      </w:r>
    </w:p>
    <w:p w14:paraId="51CEA90D" w14:textId="77777777" w:rsidR="00A14840" w:rsidRPr="00541253" w:rsidRDefault="00A14840" w:rsidP="00A14840">
      <w:pPr>
        <w:pStyle w:val="Testo2"/>
        <w:tabs>
          <w:tab w:val="clear" w:pos="284"/>
        </w:tabs>
        <w:ind w:left="567" w:hanging="283"/>
      </w:pPr>
      <w:r>
        <w:t>–</w:t>
      </w:r>
      <w:r>
        <w:tab/>
      </w:r>
      <w:r w:rsidRPr="00541253">
        <w:t>capacità di correlare i diversi contenuti in una visione unitaria</w:t>
      </w:r>
      <w:r>
        <w:t xml:space="preserve"> e sistemica;</w:t>
      </w:r>
    </w:p>
    <w:p w14:paraId="003828E0" w14:textId="77777777" w:rsidR="00A14840" w:rsidRPr="00541253" w:rsidRDefault="00A14840" w:rsidP="00A14840">
      <w:pPr>
        <w:pStyle w:val="Testo2"/>
        <w:tabs>
          <w:tab w:val="clear" w:pos="284"/>
        </w:tabs>
        <w:ind w:left="567" w:hanging="283"/>
      </w:pPr>
      <w:r>
        <w:t>–</w:t>
      </w:r>
      <w:r>
        <w:tab/>
      </w:r>
      <w:r w:rsidRPr="00541253">
        <w:t>attitudine a trasferire i contenuti appresi nell’ambito sia dei casi analizzati che delle situazioni reali affrontate</w:t>
      </w:r>
      <w:r>
        <w:t>;</w:t>
      </w:r>
    </w:p>
    <w:p w14:paraId="0584C1FD" w14:textId="77777777" w:rsidR="00A14840" w:rsidRPr="00541253" w:rsidRDefault="00A14840" w:rsidP="00A14840">
      <w:pPr>
        <w:pStyle w:val="Testo2"/>
        <w:tabs>
          <w:tab w:val="clear" w:pos="284"/>
        </w:tabs>
        <w:ind w:left="567" w:hanging="283"/>
      </w:pPr>
      <w:r>
        <w:t>–</w:t>
      </w:r>
      <w:r>
        <w:tab/>
      </w:r>
      <w:r w:rsidRPr="00541253">
        <w:t>chiarezza, pertinenza e completezza nell’esposizione dei contenuti appresi</w:t>
      </w:r>
      <w:r>
        <w:t>;</w:t>
      </w:r>
    </w:p>
    <w:p w14:paraId="5112CB9F" w14:textId="77777777" w:rsidR="00A14840" w:rsidRPr="00541253" w:rsidRDefault="00A14840" w:rsidP="00A14840">
      <w:pPr>
        <w:pStyle w:val="Testo2"/>
        <w:tabs>
          <w:tab w:val="clear" w:pos="284"/>
        </w:tabs>
        <w:ind w:left="567" w:hanging="283"/>
      </w:pPr>
      <w:r>
        <w:t>–</w:t>
      </w:r>
      <w:r>
        <w:tab/>
      </w:r>
      <w:r w:rsidRPr="00541253">
        <w:t>completezza e approfondimento dell’analisi</w:t>
      </w:r>
      <w:r>
        <w:t>;</w:t>
      </w:r>
    </w:p>
    <w:p w14:paraId="591A6A43" w14:textId="77777777" w:rsidR="00A14840" w:rsidRPr="00541253" w:rsidRDefault="00A14840" w:rsidP="00A14840">
      <w:pPr>
        <w:pStyle w:val="Testo2"/>
        <w:tabs>
          <w:tab w:val="clear" w:pos="284"/>
        </w:tabs>
        <w:ind w:left="567" w:hanging="283"/>
      </w:pPr>
      <w:r>
        <w:t>–</w:t>
      </w:r>
      <w:r>
        <w:tab/>
      </w:r>
      <w:r w:rsidRPr="00541253">
        <w:t>capacità di individu</w:t>
      </w:r>
      <w:r>
        <w:t>azione dei caratteri essenziali;</w:t>
      </w:r>
    </w:p>
    <w:p w14:paraId="656B7BAE" w14:textId="77777777" w:rsidR="00A14840" w:rsidRDefault="00A14840" w:rsidP="00A14840">
      <w:pPr>
        <w:pStyle w:val="Testo2"/>
        <w:tabs>
          <w:tab w:val="clear" w:pos="284"/>
        </w:tabs>
        <w:ind w:left="567" w:hanging="283"/>
      </w:pPr>
      <w:r>
        <w:t>–</w:t>
      </w:r>
      <w:r>
        <w:tab/>
      </w:r>
      <w:r w:rsidRPr="00541253">
        <w:t>originalità del confronto e delle lezioni apprese</w:t>
      </w:r>
      <w:r w:rsidR="005626C8">
        <w:t>.</w:t>
      </w:r>
    </w:p>
    <w:p w14:paraId="6774BF44" w14:textId="77777777" w:rsidR="0045386F" w:rsidRDefault="0045386F" w:rsidP="0045386F">
      <w:pPr>
        <w:spacing w:before="240" w:after="120"/>
        <w:rPr>
          <w:b/>
          <w:i/>
          <w:sz w:val="18"/>
        </w:rPr>
      </w:pPr>
      <w:r>
        <w:rPr>
          <w:b/>
          <w:i/>
          <w:sz w:val="18"/>
        </w:rPr>
        <w:t>AVVERTENZE E PREREQUISITI</w:t>
      </w:r>
    </w:p>
    <w:p w14:paraId="04DA739E" w14:textId="77777777" w:rsidR="00A14840" w:rsidRPr="00A14840" w:rsidRDefault="00A14840"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20" w:lineRule="exact"/>
        <w:ind w:firstLine="284"/>
        <w:rPr>
          <w:rFonts w:ascii="Times" w:hAnsi="Times" w:cs="Arial Unicode MS"/>
          <w:color w:val="000000"/>
          <w:sz w:val="18"/>
          <w:szCs w:val="18"/>
          <w:u w:color="000000"/>
        </w:rPr>
      </w:pPr>
      <w:r w:rsidRPr="00A14840">
        <w:rPr>
          <w:rFonts w:ascii="Times" w:hAnsi="Times" w:cs="Arial Unicode MS"/>
          <w:color w:val="000000"/>
          <w:sz w:val="18"/>
          <w:szCs w:val="18"/>
          <w:u w:color="000000"/>
        </w:rPr>
        <w:t>Il processo didattico e di apprendimento è dinamico e richiede la partecipazione attiva dello studente. La frequenza è fortemente consigliata.</w:t>
      </w:r>
    </w:p>
    <w:p w14:paraId="4B9214B1" w14:textId="77777777" w:rsidR="00A14840" w:rsidRPr="00A14840" w:rsidRDefault="00A14840"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20" w:lineRule="exact"/>
        <w:ind w:firstLine="284"/>
        <w:rPr>
          <w:rFonts w:ascii="Times" w:hAnsi="Times" w:cs="Arial Unicode MS"/>
          <w:color w:val="000000"/>
          <w:sz w:val="18"/>
          <w:szCs w:val="18"/>
          <w:u w:color="000000"/>
        </w:rPr>
      </w:pPr>
      <w:r w:rsidRPr="00A14840">
        <w:rPr>
          <w:rFonts w:ascii="Times" w:hAnsi="Times" w:cs="Arial Unicode MS"/>
          <w:color w:val="000000"/>
          <w:sz w:val="18"/>
          <w:szCs w:val="18"/>
          <w:u w:color="000000"/>
        </w:rPr>
        <w:t xml:space="preserve">I contenuti del corso prevedono un livello di approfondimento tipico di un corso di laurea magistrale. </w:t>
      </w:r>
    </w:p>
    <w:p w14:paraId="3E30AF28" w14:textId="77777777" w:rsidR="00A14840" w:rsidRDefault="00A14840"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20" w:lineRule="exact"/>
        <w:ind w:firstLine="284"/>
        <w:rPr>
          <w:rFonts w:ascii="Times" w:hAnsi="Times" w:cs="Arial Unicode MS"/>
          <w:color w:val="000000"/>
          <w:sz w:val="18"/>
          <w:szCs w:val="18"/>
          <w:u w:color="000000"/>
        </w:rPr>
      </w:pPr>
      <w:r w:rsidRPr="00A14840">
        <w:rPr>
          <w:rFonts w:ascii="Times" w:hAnsi="Times" w:cs="Arial Unicode MS"/>
          <w:color w:val="000000"/>
          <w:sz w:val="18"/>
          <w:szCs w:val="18"/>
          <w:u w:color="000000"/>
        </w:rPr>
        <w:t>È richiesta una conoscenza di base della gestione e dell’organizzazione aziendale e della teoria dei giochi. Gli studenti, eventualmente non in possesso di tali conoscenze preliminari, dovranno farsi carico di acquisirle attraverso un’attività di studio individuale così da potere seguire efficacemente il corso.</w:t>
      </w:r>
    </w:p>
    <w:p w14:paraId="6CBC57BD" w14:textId="77777777" w:rsidR="00F14048" w:rsidRDefault="00F14048" w:rsidP="00F14048">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sectPr w:rsidR="00F14048" w:rsidSect="004D1217">
      <w:pgSz w:w="11906" w:h="16838" w:code="9"/>
      <w:pgMar w:top="3515" w:right="2608" w:bottom="3515" w:left="2608"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46635" w14:textId="77777777" w:rsidR="00894B52" w:rsidRDefault="00894B52" w:rsidP="008A7524">
      <w:pPr>
        <w:spacing w:line="240" w:lineRule="auto"/>
      </w:pPr>
      <w:r>
        <w:separator/>
      </w:r>
    </w:p>
  </w:endnote>
  <w:endnote w:type="continuationSeparator" w:id="0">
    <w:p w14:paraId="059AB37F" w14:textId="77777777" w:rsidR="00894B52" w:rsidRDefault="00894B52" w:rsidP="008A75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Sylfae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ECF12" w14:textId="77777777" w:rsidR="00894B52" w:rsidRDefault="00894B52" w:rsidP="008A7524">
      <w:pPr>
        <w:spacing w:line="240" w:lineRule="auto"/>
      </w:pPr>
      <w:r>
        <w:separator/>
      </w:r>
    </w:p>
  </w:footnote>
  <w:footnote w:type="continuationSeparator" w:id="0">
    <w:p w14:paraId="3CF07755" w14:textId="77777777" w:rsidR="00894B52" w:rsidRDefault="00894B52" w:rsidP="008A7524">
      <w:pPr>
        <w:spacing w:line="240" w:lineRule="auto"/>
      </w:pPr>
      <w:r>
        <w:continuationSeparator/>
      </w:r>
    </w:p>
  </w:footnote>
  <w:footnote w:id="1">
    <w:p w14:paraId="5E1C993D" w14:textId="77777777" w:rsidR="008A7524" w:rsidRDefault="008A752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55FD"/>
    <w:multiLevelType w:val="hybridMultilevel"/>
    <w:tmpl w:val="CB0638F4"/>
    <w:lvl w:ilvl="0" w:tplc="6E760A92">
      <w:start w:val="15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41262BA"/>
    <w:multiLevelType w:val="hybridMultilevel"/>
    <w:tmpl w:val="26D4F0BA"/>
    <w:numStyleLink w:val="Numerato"/>
  </w:abstractNum>
  <w:abstractNum w:abstractNumId="2">
    <w:nsid w:val="71690FF7"/>
    <w:multiLevelType w:val="hybridMultilevel"/>
    <w:tmpl w:val="48AC67C0"/>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A5141D0"/>
    <w:multiLevelType w:val="hybridMultilevel"/>
    <w:tmpl w:val="26D4F0BA"/>
    <w:styleLink w:val="Numerato"/>
    <w:lvl w:ilvl="0" w:tplc="A30A2D44">
      <w:start w:val="1"/>
      <w:numFmt w:val="decimal"/>
      <w:lvlText w:val="%1."/>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B29688">
      <w:start w:val="1"/>
      <w:numFmt w:val="decimal"/>
      <w:lvlText w:val="%2."/>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CA319A">
      <w:start w:val="1"/>
      <w:numFmt w:val="decimal"/>
      <w:lvlText w:val="%3."/>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9E79AA">
      <w:start w:val="1"/>
      <w:numFmt w:val="decimal"/>
      <w:lvlText w:val="%4."/>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7CBF4E">
      <w:start w:val="1"/>
      <w:numFmt w:val="decimal"/>
      <w:lvlText w:val="%5."/>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887A68">
      <w:start w:val="1"/>
      <w:numFmt w:val="decimal"/>
      <w:lvlText w:val="%6."/>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884EF0">
      <w:start w:val="1"/>
      <w:numFmt w:val="decimal"/>
      <w:lvlText w:val="%7."/>
      <w:lvlJc w:val="left"/>
      <w:pPr>
        <w:tabs>
          <w:tab w:val="left" w:pos="284"/>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341AB8">
      <w:start w:val="1"/>
      <w:numFmt w:val="decimal"/>
      <w:lvlText w:val="%8."/>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ACF22E">
      <w:start w:val="1"/>
      <w:numFmt w:val="decimal"/>
      <w:lvlText w:val="%9."/>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A2"/>
    <w:rsid w:val="001142AA"/>
    <w:rsid w:val="00154018"/>
    <w:rsid w:val="00187B99"/>
    <w:rsid w:val="002014DD"/>
    <w:rsid w:val="002B111F"/>
    <w:rsid w:val="002C3438"/>
    <w:rsid w:val="002D5E17"/>
    <w:rsid w:val="0035003C"/>
    <w:rsid w:val="0045386F"/>
    <w:rsid w:val="004D1217"/>
    <w:rsid w:val="004D6008"/>
    <w:rsid w:val="004F5B18"/>
    <w:rsid w:val="005626C8"/>
    <w:rsid w:val="005F73E5"/>
    <w:rsid w:val="00640794"/>
    <w:rsid w:val="006A2B1A"/>
    <w:rsid w:val="006F1772"/>
    <w:rsid w:val="00712901"/>
    <w:rsid w:val="008725C2"/>
    <w:rsid w:val="008942E7"/>
    <w:rsid w:val="00894B52"/>
    <w:rsid w:val="008A1204"/>
    <w:rsid w:val="008A7524"/>
    <w:rsid w:val="008B6372"/>
    <w:rsid w:val="00900CCA"/>
    <w:rsid w:val="009035CB"/>
    <w:rsid w:val="00924B77"/>
    <w:rsid w:val="00940DA2"/>
    <w:rsid w:val="009566C2"/>
    <w:rsid w:val="009E055C"/>
    <w:rsid w:val="00A14840"/>
    <w:rsid w:val="00A74F6F"/>
    <w:rsid w:val="00A80CE0"/>
    <w:rsid w:val="00A866CF"/>
    <w:rsid w:val="00AD7557"/>
    <w:rsid w:val="00B50C5D"/>
    <w:rsid w:val="00B51253"/>
    <w:rsid w:val="00B525CC"/>
    <w:rsid w:val="00CE60A5"/>
    <w:rsid w:val="00D404F2"/>
    <w:rsid w:val="00E341CB"/>
    <w:rsid w:val="00E607E6"/>
    <w:rsid w:val="00E8623F"/>
    <w:rsid w:val="00E93DA8"/>
    <w:rsid w:val="00EA5EB1"/>
    <w:rsid w:val="00F14048"/>
    <w:rsid w:val="00FA4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7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2C3438"/>
    <w:pPr>
      <w:tabs>
        <w:tab w:val="clear" w:pos="284"/>
      </w:tabs>
      <w:ind w:left="720"/>
      <w:contextualSpacing/>
    </w:pPr>
    <w:rPr>
      <w:rFonts w:eastAsia="MS Mincho"/>
    </w:rPr>
  </w:style>
  <w:style w:type="paragraph" w:customStyle="1" w:styleId="Didefault">
    <w:name w:val="Di default"/>
    <w:rsid w:val="00A1484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erato">
    <w:name w:val="Numerato"/>
    <w:rsid w:val="00A14840"/>
    <w:pPr>
      <w:numPr>
        <w:numId w:val="2"/>
      </w:numPr>
    </w:pPr>
  </w:style>
  <w:style w:type="character" w:customStyle="1" w:styleId="Hyperlink0">
    <w:name w:val="Hyperlink.0"/>
    <w:basedOn w:val="Carpredefinitoparagrafo"/>
    <w:rsid w:val="00A14840"/>
    <w:rPr>
      <w:rFonts w:ascii="Times New Roman" w:eastAsia="Times New Roman" w:hAnsi="Times New Roman" w:cs="Times New Roman"/>
      <w:i/>
      <w:iCs/>
      <w:color w:val="0000FF"/>
      <w:sz w:val="16"/>
      <w:szCs w:val="16"/>
      <w:u w:val="single" w:color="0000FF"/>
    </w:rPr>
  </w:style>
  <w:style w:type="paragraph" w:styleId="Testonotaapidipagina">
    <w:name w:val="footnote text"/>
    <w:basedOn w:val="Normale"/>
    <w:link w:val="TestonotaapidipaginaCarattere"/>
    <w:rsid w:val="008A7524"/>
    <w:pPr>
      <w:spacing w:line="240" w:lineRule="auto"/>
    </w:pPr>
    <w:rPr>
      <w:szCs w:val="20"/>
    </w:rPr>
  </w:style>
  <w:style w:type="character" w:customStyle="1" w:styleId="TestonotaapidipaginaCarattere">
    <w:name w:val="Testo nota a piè di pagina Carattere"/>
    <w:basedOn w:val="Carpredefinitoparagrafo"/>
    <w:link w:val="Testonotaapidipagina"/>
    <w:rsid w:val="008A7524"/>
  </w:style>
  <w:style w:type="character" w:styleId="Rimandonotaapidipagina">
    <w:name w:val="footnote reference"/>
    <w:basedOn w:val="Carpredefinitoparagrafo"/>
    <w:rsid w:val="008A7524"/>
    <w:rPr>
      <w:vertAlign w:val="superscript"/>
    </w:rPr>
  </w:style>
  <w:style w:type="character" w:styleId="Collegamentoipertestuale">
    <w:name w:val="Hyperlink"/>
    <w:basedOn w:val="Carpredefinitoparagrafo"/>
    <w:rsid w:val="008A752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2C3438"/>
    <w:pPr>
      <w:tabs>
        <w:tab w:val="clear" w:pos="284"/>
      </w:tabs>
      <w:ind w:left="720"/>
      <w:contextualSpacing/>
    </w:pPr>
    <w:rPr>
      <w:rFonts w:eastAsia="MS Mincho"/>
    </w:rPr>
  </w:style>
  <w:style w:type="paragraph" w:customStyle="1" w:styleId="Didefault">
    <w:name w:val="Di default"/>
    <w:rsid w:val="00A1484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erato">
    <w:name w:val="Numerato"/>
    <w:rsid w:val="00A14840"/>
    <w:pPr>
      <w:numPr>
        <w:numId w:val="2"/>
      </w:numPr>
    </w:pPr>
  </w:style>
  <w:style w:type="character" w:customStyle="1" w:styleId="Hyperlink0">
    <w:name w:val="Hyperlink.0"/>
    <w:basedOn w:val="Carpredefinitoparagrafo"/>
    <w:rsid w:val="00A14840"/>
    <w:rPr>
      <w:rFonts w:ascii="Times New Roman" w:eastAsia="Times New Roman" w:hAnsi="Times New Roman" w:cs="Times New Roman"/>
      <w:i/>
      <w:iCs/>
      <w:color w:val="0000FF"/>
      <w:sz w:val="16"/>
      <w:szCs w:val="16"/>
      <w:u w:val="single" w:color="0000FF"/>
    </w:rPr>
  </w:style>
  <w:style w:type="paragraph" w:styleId="Testonotaapidipagina">
    <w:name w:val="footnote text"/>
    <w:basedOn w:val="Normale"/>
    <w:link w:val="TestonotaapidipaginaCarattere"/>
    <w:rsid w:val="008A7524"/>
    <w:pPr>
      <w:spacing w:line="240" w:lineRule="auto"/>
    </w:pPr>
    <w:rPr>
      <w:szCs w:val="20"/>
    </w:rPr>
  </w:style>
  <w:style w:type="character" w:customStyle="1" w:styleId="TestonotaapidipaginaCarattere">
    <w:name w:val="Testo nota a piè di pagina Carattere"/>
    <w:basedOn w:val="Carpredefinitoparagrafo"/>
    <w:link w:val="Testonotaapidipagina"/>
    <w:rsid w:val="008A7524"/>
  </w:style>
  <w:style w:type="character" w:styleId="Rimandonotaapidipagina">
    <w:name w:val="footnote reference"/>
    <w:basedOn w:val="Carpredefinitoparagrafo"/>
    <w:rsid w:val="008A7524"/>
    <w:rPr>
      <w:vertAlign w:val="superscript"/>
    </w:rPr>
  </w:style>
  <w:style w:type="character" w:styleId="Collegamentoipertestuale">
    <w:name w:val="Hyperlink"/>
    <w:basedOn w:val="Carpredefinitoparagrafo"/>
    <w:rsid w:val="008A75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librerie.unicatt.it/scheda-libro/dixit-avinash-nalebuff-barry/larte-della-strategia-9788850227471-181435.html" TargetMode="External"/><Relationship Id="rId5" Type="http://schemas.microsoft.com/office/2007/relationships/stylesWithEffects" Target="stylesWithEffects.xml"/><Relationship Id="rId10" Type="http://schemas.openxmlformats.org/officeDocument/2006/relationships/hyperlink" Target="https://librerie.unicatt.it/scheda-libro/domenico-bodega/le-forme-della-leadership-9788817058230-189299.html"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BF771-4CD0-4192-B5C5-71292C36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822</Words>
  <Characters>5342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U.C.S.C. MILANO</dc:creator>
  <cp:keywords/>
  <cp:lastModifiedBy>Rolli Andrea</cp:lastModifiedBy>
  <cp:revision>4</cp:revision>
  <cp:lastPrinted>2003-03-27T10:42:00Z</cp:lastPrinted>
  <dcterms:created xsi:type="dcterms:W3CDTF">2022-05-24T13:50:00Z</dcterms:created>
  <dcterms:modified xsi:type="dcterms:W3CDTF">2022-07-25T10:42:00Z</dcterms:modified>
</cp:coreProperties>
</file>