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9D4C" w14:textId="242F57C1" w:rsidR="001E1258" w:rsidRPr="00E25D60" w:rsidRDefault="001E1258" w:rsidP="001E1258">
      <w:pPr>
        <w:pStyle w:val="Titolo1"/>
      </w:pPr>
      <w:r w:rsidRPr="00E25D60">
        <w:t>Strategia e politica aziendale (</w:t>
      </w:r>
      <w:r w:rsidR="00E17D79">
        <w:t>C</w:t>
      </w:r>
      <w:r w:rsidRPr="00E25D60">
        <w:t>orporate strategy)</w:t>
      </w:r>
    </w:p>
    <w:p w14:paraId="330E3A3C" w14:textId="250D7195" w:rsidR="001E1258" w:rsidRPr="00E25D60" w:rsidRDefault="001E1258" w:rsidP="001E1258">
      <w:pPr>
        <w:pStyle w:val="Titolo2"/>
      </w:pPr>
      <w:r w:rsidRPr="00E25D60">
        <w:t>Prof</w:t>
      </w:r>
      <w:r w:rsidR="00E17D79">
        <w:t xml:space="preserve">. </w:t>
      </w:r>
      <w:r w:rsidRPr="00E25D60">
        <w:t>Mario Molteni</w:t>
      </w:r>
      <w:r w:rsidR="006B0D83">
        <w:t xml:space="preserve">; Prof. </w:t>
      </w:r>
      <w:r w:rsidR="00E17D79">
        <w:t>Marco Minciullo</w:t>
      </w:r>
      <w:r w:rsidR="006B0D83">
        <w:t xml:space="preserve">; Prof. </w:t>
      </w:r>
      <w:r w:rsidR="00E17D79">
        <w:t xml:space="preserve">Giacomo Ciambotti </w:t>
      </w:r>
    </w:p>
    <w:p w14:paraId="43DCF088" w14:textId="77777777" w:rsidR="002D5E17" w:rsidRDefault="001E1258" w:rsidP="001E12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E0457FE" w14:textId="2C258DFA" w:rsidR="001E1258" w:rsidRDefault="001E1258" w:rsidP="001E1258">
      <w:pPr>
        <w:rPr>
          <w:rFonts w:eastAsia="MS Mincho"/>
        </w:rPr>
      </w:pPr>
      <w:r w:rsidRPr="00E25D60">
        <w:rPr>
          <w:rFonts w:eastAsia="MS Mincho"/>
        </w:rPr>
        <w:t xml:space="preserve">Il corso intende condurre i partecipanti nell’analisi dei problemi strategici e delle logiche di gestione delle imprese </w:t>
      </w:r>
      <w:proofErr w:type="spellStart"/>
      <w:r w:rsidRPr="00E25D60">
        <w:rPr>
          <w:rFonts w:eastAsia="MS Mincho"/>
        </w:rPr>
        <w:t>multibusiness</w:t>
      </w:r>
      <w:proofErr w:type="spellEnd"/>
      <w:r w:rsidRPr="00E25D60">
        <w:rPr>
          <w:rFonts w:eastAsia="MS Mincho"/>
        </w:rPr>
        <w:t xml:space="preserve">. Esso vuole favorire la comprensione delle caratteristiche di una </w:t>
      </w:r>
      <w:r w:rsidRPr="00E25D60">
        <w:rPr>
          <w:rFonts w:eastAsia="MS Mincho"/>
          <w:i/>
        </w:rPr>
        <w:t>corporate-</w:t>
      </w:r>
      <w:proofErr w:type="spellStart"/>
      <w:r w:rsidRPr="00E25D60">
        <w:rPr>
          <w:rFonts w:eastAsia="MS Mincho"/>
          <w:i/>
        </w:rPr>
        <w:t>level</w:t>
      </w:r>
      <w:proofErr w:type="spellEnd"/>
      <w:r w:rsidRPr="00E25D60">
        <w:rPr>
          <w:rFonts w:eastAsia="MS Mincho"/>
          <w:i/>
        </w:rPr>
        <w:t xml:space="preserve"> </w:t>
      </w:r>
      <w:proofErr w:type="spellStart"/>
      <w:r w:rsidRPr="00E25D60">
        <w:rPr>
          <w:rFonts w:eastAsia="MS Mincho"/>
          <w:i/>
        </w:rPr>
        <w:t>strategy</w:t>
      </w:r>
      <w:proofErr w:type="spellEnd"/>
      <w:r w:rsidRPr="00E25D60">
        <w:rPr>
          <w:rFonts w:eastAsia="MS Mincho"/>
        </w:rPr>
        <w:t xml:space="preserve"> in grado di generare valore tanto per gli azionisti quanto per gli altri stakeholder. </w:t>
      </w:r>
    </w:p>
    <w:p w14:paraId="57B062CB" w14:textId="77777777" w:rsidR="001E1258" w:rsidRDefault="001E1258" w:rsidP="001E1258">
      <w:pPr>
        <w:rPr>
          <w:rFonts w:eastAsia="MS Mincho"/>
        </w:rPr>
      </w:pPr>
      <w:r w:rsidRPr="008779DA">
        <w:rPr>
          <w:rFonts w:eastAsia="MS Mincho"/>
        </w:rPr>
        <w:t>Al termine dell’insegnamento, lo studente sarà</w:t>
      </w:r>
      <w:r>
        <w:rPr>
          <w:rFonts w:eastAsia="MS Mincho"/>
        </w:rPr>
        <w:t xml:space="preserve"> in grado di applicare le conoscenze acquisite all’analisi della strategia a livello corporate di un’impresa in tutte le sue dimensioni: portafoglio business, assetto organizzativo, politiche di sostenibilità, performance economiche e socio-ambientali.</w:t>
      </w:r>
    </w:p>
    <w:p w14:paraId="24CAF671" w14:textId="77777777" w:rsidR="001E1258" w:rsidRDefault="001E1258" w:rsidP="001E1258">
      <w:pPr>
        <w:rPr>
          <w:rFonts w:eastAsia="MS Mincho"/>
        </w:rPr>
      </w:pPr>
      <w:r>
        <w:rPr>
          <w:rFonts w:eastAsia="MS Mincho"/>
        </w:rPr>
        <w:t>Inoltre</w:t>
      </w:r>
      <w:r w:rsidR="00050FEC">
        <w:rPr>
          <w:rFonts w:eastAsia="MS Mincho"/>
        </w:rPr>
        <w:t xml:space="preserve">, </w:t>
      </w:r>
      <w:r>
        <w:rPr>
          <w:rFonts w:eastAsia="MS Mincho"/>
        </w:rPr>
        <w:t xml:space="preserve">il </w:t>
      </w:r>
      <w:r w:rsidRPr="008779DA">
        <w:rPr>
          <w:rFonts w:eastAsia="MS Mincho"/>
        </w:rPr>
        <w:t>corso stimola la capacità di ideare nuove strategie</w:t>
      </w:r>
      <w:r>
        <w:rPr>
          <w:rFonts w:eastAsia="MS Mincho"/>
        </w:rPr>
        <w:t xml:space="preserve"> di crescita, con particolare attenzione ad acquisizioni, joint-venture, fusioni, crescita mediante sviluppo interno. Per tali operazioni straordinarie lo studente svilupperà la capacità di valutare criticamente benefici e controindicazioni di varie alternative</w:t>
      </w:r>
      <w:r w:rsidRPr="008779DA">
        <w:rPr>
          <w:rFonts w:eastAsia="MS Mincho"/>
        </w:rPr>
        <w:t>.</w:t>
      </w:r>
    </w:p>
    <w:p w14:paraId="195D07B9" w14:textId="77777777" w:rsidR="001E1258" w:rsidRPr="00E25D60" w:rsidRDefault="001E1258" w:rsidP="001E1258">
      <w:pPr>
        <w:rPr>
          <w:rFonts w:eastAsia="MS Mincho"/>
        </w:rPr>
      </w:pPr>
      <w:r>
        <w:rPr>
          <w:rFonts w:eastAsia="MS Mincho"/>
        </w:rPr>
        <w:t>Sia per quanto riguarda le capacità analitiche, sia per ciò che concerne le capacità di creazione e formulazione di nuove strategie, si favorisce lo sviluppo di a</w:t>
      </w:r>
      <w:r w:rsidRPr="00975972">
        <w:rPr>
          <w:rFonts w:eastAsia="MS Mincho"/>
        </w:rPr>
        <w:t xml:space="preserve">bilità comunicative </w:t>
      </w:r>
      <w:r>
        <w:rPr>
          <w:rFonts w:eastAsia="MS Mincho"/>
        </w:rPr>
        <w:t>attribuendo agli studenti il compito di presentare i loro elaborati tanto ai docenti quanto a esponenti di vertice delle imprese che saranno esaminate.</w:t>
      </w:r>
    </w:p>
    <w:p w14:paraId="20FE004D" w14:textId="77777777" w:rsidR="001E1258" w:rsidRDefault="001E1258" w:rsidP="001E12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  <w:r w:rsidR="00153DB8">
        <w:rPr>
          <w:b/>
          <w:i/>
          <w:sz w:val="18"/>
        </w:rPr>
        <w:t xml:space="preserve"> </w:t>
      </w:r>
    </w:p>
    <w:p w14:paraId="4B5E5760" w14:textId="4B4843AF" w:rsidR="001E1258" w:rsidRDefault="001E125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276325">
        <w:rPr>
          <w:rFonts w:ascii="Times" w:hAnsi="Times"/>
          <w:i/>
          <w:noProof/>
          <w:szCs w:val="20"/>
        </w:rPr>
        <w:t>Introduzione alla Corporate Strategy (CS)</w:t>
      </w:r>
      <w:r w:rsidRPr="00276325">
        <w:rPr>
          <w:rFonts w:ascii="Times" w:hAnsi="Times"/>
          <w:noProof/>
          <w:szCs w:val="20"/>
        </w:rPr>
        <w:t xml:space="preserve">: crezione di valore nell’impresa multibusiness; evoluzione della CS nel tempo; </w:t>
      </w:r>
      <w:r w:rsidR="005E4088">
        <w:rPr>
          <w:rFonts w:ascii="Times" w:hAnsi="Times"/>
          <w:noProof/>
          <w:szCs w:val="20"/>
        </w:rPr>
        <w:t xml:space="preserve">modello di riferimento per l’analisi della </w:t>
      </w:r>
      <w:r w:rsidRPr="00276325">
        <w:rPr>
          <w:rFonts w:ascii="Times" w:hAnsi="Times"/>
          <w:noProof/>
          <w:szCs w:val="20"/>
        </w:rPr>
        <w:t>CS; modelli di CS; influsso delle corporate governance sulla CS.</w:t>
      </w:r>
    </w:p>
    <w:p w14:paraId="2E595E20" w14:textId="1323D049" w:rsidR="00AC118A" w:rsidRDefault="00AC118A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AC118A">
        <w:rPr>
          <w:rFonts w:ascii="Times" w:hAnsi="Times"/>
          <w:i/>
          <w:noProof/>
          <w:szCs w:val="20"/>
        </w:rPr>
        <w:t>Mega-trend</w:t>
      </w:r>
      <w:r>
        <w:rPr>
          <w:rFonts w:ascii="Times" w:hAnsi="Times"/>
          <w:noProof/>
          <w:szCs w:val="20"/>
        </w:rPr>
        <w:t>: esame dei principali grandi cambiamenti in atto a livello globale, che impongono il costante rinnovamento della CS delle imprese;</w:t>
      </w:r>
    </w:p>
    <w:p w14:paraId="5FFA2C80" w14:textId="7B13D348" w:rsidR="00AC118A" w:rsidRDefault="00AC118A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Corporate governance</w:t>
      </w:r>
      <w:r>
        <w:rPr>
          <w:rFonts w:ascii="Times" w:hAnsi="Times"/>
          <w:iCs/>
          <w:noProof/>
          <w:szCs w:val="20"/>
        </w:rPr>
        <w:t xml:space="preserve">: esame del sistema di governo dell’impresa in vista di comprendere il suo influsso </w:t>
      </w:r>
      <w:r w:rsidR="00EA4D3F">
        <w:rPr>
          <w:rFonts w:ascii="Times" w:hAnsi="Times"/>
          <w:iCs/>
          <w:noProof/>
          <w:szCs w:val="20"/>
        </w:rPr>
        <w:t>sulla CS.</w:t>
      </w:r>
    </w:p>
    <w:p w14:paraId="7D4AC9B3" w14:textId="77777777" w:rsidR="005E4088" w:rsidRPr="005E4088" w:rsidRDefault="005E408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bookmarkStart w:id="0" w:name="_Hlk36311583"/>
      <w:r w:rsidRPr="005E4088">
        <w:rPr>
          <w:rFonts w:ascii="Times" w:hAnsi="Times"/>
          <w:i/>
          <w:iCs/>
          <w:noProof/>
          <w:szCs w:val="20"/>
        </w:rPr>
        <w:t>Risorse aziendali</w:t>
      </w:r>
      <w:r>
        <w:rPr>
          <w:rFonts w:ascii="Times" w:hAnsi="Times"/>
          <w:noProof/>
          <w:szCs w:val="20"/>
        </w:rPr>
        <w:t>: ruolo delle risorse nella creazione di valore; classificazione dellle risorse per natura, funzione e livello; le risorse di valore; un approccio alla formulazione della strategia delle risorse.</w:t>
      </w:r>
    </w:p>
    <w:bookmarkEnd w:id="0"/>
    <w:p w14:paraId="3928D156" w14:textId="4E423B21" w:rsidR="001E1258" w:rsidRDefault="001E125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276325">
        <w:rPr>
          <w:rFonts w:ascii="Times" w:hAnsi="Times"/>
          <w:i/>
          <w:noProof/>
          <w:szCs w:val="20"/>
        </w:rPr>
        <w:t>Analisi ed evoluzione del portafoglio business</w:t>
      </w:r>
      <w:r w:rsidRPr="00276325">
        <w:rPr>
          <w:rFonts w:ascii="Times" w:hAnsi="Times"/>
          <w:noProof/>
          <w:szCs w:val="20"/>
        </w:rPr>
        <w:t xml:space="preserve">: core business e scelte di diversificazione; </w:t>
      </w:r>
      <w:r w:rsidR="00C446D6">
        <w:rPr>
          <w:rFonts w:ascii="Times" w:hAnsi="Times"/>
          <w:noProof/>
          <w:szCs w:val="20"/>
        </w:rPr>
        <w:t>mappe</w:t>
      </w:r>
      <w:r w:rsidRPr="00276325">
        <w:rPr>
          <w:rFonts w:ascii="Times" w:hAnsi="Times"/>
          <w:noProof/>
          <w:szCs w:val="20"/>
        </w:rPr>
        <w:t xml:space="preserve"> di portafoglio; direzioni di diversificazione e modalità di espansione (crescita esterna vs. sviluppo interno); crescita internazionale; operazioni di corporate venture capital; grado di diversificazione e risultati aziendali.</w:t>
      </w:r>
    </w:p>
    <w:p w14:paraId="6DF3AD13" w14:textId="732FFDAD" w:rsidR="001E1258" w:rsidRDefault="005E408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 xml:space="preserve">Assetto organizzativo </w:t>
      </w:r>
      <w:r w:rsidR="001E1258" w:rsidRPr="00276325">
        <w:rPr>
          <w:rFonts w:ascii="Times" w:hAnsi="Times"/>
          <w:i/>
          <w:noProof/>
          <w:szCs w:val="20"/>
        </w:rPr>
        <w:t>dell’impresa multibusiness</w:t>
      </w:r>
      <w:r w:rsidR="001E1258" w:rsidRPr="00276325">
        <w:rPr>
          <w:rFonts w:ascii="Times" w:hAnsi="Times"/>
          <w:noProof/>
          <w:szCs w:val="20"/>
        </w:rPr>
        <w:t xml:space="preserve">: strutture </w:t>
      </w:r>
      <w:r w:rsidR="00AC118A">
        <w:rPr>
          <w:rFonts w:ascii="Times" w:hAnsi="Times"/>
          <w:noProof/>
          <w:szCs w:val="20"/>
        </w:rPr>
        <w:t>tipiche</w:t>
      </w:r>
      <w:r w:rsidR="001E1258" w:rsidRPr="00276325">
        <w:rPr>
          <w:rFonts w:ascii="Times" w:hAnsi="Times"/>
          <w:noProof/>
          <w:szCs w:val="20"/>
        </w:rPr>
        <w:t xml:space="preserve">; meccanismi per il controllo e la coesione </w:t>
      </w:r>
      <w:r w:rsidR="00AC118A">
        <w:rPr>
          <w:rFonts w:ascii="Times" w:hAnsi="Times"/>
          <w:noProof/>
          <w:szCs w:val="20"/>
        </w:rPr>
        <w:t>tra i business in portafoglio</w:t>
      </w:r>
      <w:r w:rsidR="001E1258" w:rsidRPr="00276325">
        <w:rPr>
          <w:rFonts w:ascii="Times" w:hAnsi="Times"/>
          <w:noProof/>
          <w:szCs w:val="20"/>
        </w:rPr>
        <w:t xml:space="preserve">; </w:t>
      </w:r>
      <w:r w:rsidR="001E1258" w:rsidRPr="00276325">
        <w:rPr>
          <w:rFonts w:ascii="Times" w:hAnsi="Times"/>
          <w:noProof/>
          <w:szCs w:val="20"/>
        </w:rPr>
        <w:lastRenderedPageBreak/>
        <w:t>condizioni per l’imprenditorialità interna</w:t>
      </w:r>
      <w:r w:rsidR="00AC118A">
        <w:rPr>
          <w:rFonts w:ascii="Times" w:hAnsi="Times"/>
          <w:noProof/>
          <w:szCs w:val="20"/>
        </w:rPr>
        <w:t xml:space="preserve">; </w:t>
      </w:r>
      <w:r w:rsidR="00AC118A" w:rsidRPr="00276325">
        <w:rPr>
          <w:rFonts w:ascii="Times" w:hAnsi="Times"/>
          <w:noProof/>
          <w:szCs w:val="20"/>
        </w:rPr>
        <w:t xml:space="preserve">ruoli e dimensioni delle </w:t>
      </w:r>
      <w:r w:rsidR="00AC118A">
        <w:rPr>
          <w:rFonts w:ascii="Times" w:hAnsi="Times"/>
          <w:noProof/>
          <w:szCs w:val="20"/>
        </w:rPr>
        <w:t>u</w:t>
      </w:r>
      <w:r w:rsidR="00AC118A" w:rsidRPr="00276325">
        <w:rPr>
          <w:rFonts w:ascii="Times" w:hAnsi="Times"/>
          <w:noProof/>
          <w:szCs w:val="20"/>
        </w:rPr>
        <w:t>nità centrali</w:t>
      </w:r>
      <w:r w:rsidR="00AC118A">
        <w:rPr>
          <w:rFonts w:ascii="Times" w:hAnsi="Times"/>
          <w:noProof/>
          <w:szCs w:val="20"/>
        </w:rPr>
        <w:t>.</w:t>
      </w:r>
    </w:p>
    <w:p w14:paraId="3843B421" w14:textId="2B5E6443" w:rsidR="001E1258" w:rsidRDefault="00C446D6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Performance</w:t>
      </w:r>
      <w:r w:rsidR="001E1258" w:rsidRPr="00276325">
        <w:rPr>
          <w:rFonts w:ascii="Times" w:hAnsi="Times"/>
          <w:noProof/>
          <w:szCs w:val="20"/>
        </w:rPr>
        <w:t xml:space="preserve">: la valutazione dell’assetto economico; compatibilità tra profilo economico-finanziario aziendale e strategie di crescita a livello corporate; </w:t>
      </w:r>
      <w:r>
        <w:rPr>
          <w:rFonts w:ascii="Times" w:hAnsi="Times"/>
          <w:noProof/>
          <w:szCs w:val="20"/>
        </w:rPr>
        <w:t>performance so</w:t>
      </w:r>
      <w:r w:rsidR="00D73DF4">
        <w:rPr>
          <w:rFonts w:ascii="Times" w:hAnsi="Times"/>
          <w:noProof/>
          <w:szCs w:val="20"/>
        </w:rPr>
        <w:t>c</w:t>
      </w:r>
      <w:r>
        <w:rPr>
          <w:rFonts w:ascii="Times" w:hAnsi="Times"/>
          <w:noProof/>
          <w:szCs w:val="20"/>
        </w:rPr>
        <w:t>iali e ambientali; bilancio di sostenibilità e bilancio integrato; la reputazione dell’azienda multibusiness</w:t>
      </w:r>
      <w:r w:rsidR="001E1258" w:rsidRPr="00276325">
        <w:rPr>
          <w:rFonts w:ascii="Times" w:hAnsi="Times"/>
          <w:noProof/>
          <w:szCs w:val="20"/>
        </w:rPr>
        <w:t>.</w:t>
      </w:r>
    </w:p>
    <w:p w14:paraId="08113DDE" w14:textId="6353AA86" w:rsidR="005E4088" w:rsidRDefault="001E1258" w:rsidP="00EB0329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1646E1">
        <w:rPr>
          <w:rFonts w:ascii="Times" w:hAnsi="Times"/>
          <w:i/>
          <w:noProof/>
          <w:szCs w:val="20"/>
        </w:rPr>
        <w:t>CS e politiche di sostenibilità</w:t>
      </w:r>
      <w:r w:rsidRPr="00276325">
        <w:rPr>
          <w:rFonts w:ascii="Times" w:hAnsi="Times"/>
          <w:noProof/>
          <w:szCs w:val="20"/>
        </w:rPr>
        <w:t>: lo</w:t>
      </w:r>
      <w:r>
        <w:rPr>
          <w:rFonts w:ascii="Times" w:hAnsi="Times"/>
          <w:noProof/>
          <w:szCs w:val="20"/>
        </w:rPr>
        <w:t xml:space="preserve">gica della sostenibilità </w:t>
      </w:r>
      <w:r w:rsidR="00E17D79">
        <w:rPr>
          <w:rFonts w:ascii="Times" w:hAnsi="Times"/>
          <w:noProof/>
          <w:szCs w:val="20"/>
        </w:rPr>
        <w:t>e trasformazione della</w:t>
      </w:r>
      <w:r w:rsidRPr="00276325">
        <w:rPr>
          <w:rFonts w:ascii="Times" w:hAnsi="Times"/>
          <w:noProof/>
          <w:szCs w:val="20"/>
        </w:rPr>
        <w:t xml:space="preserve"> CS; gli stadi di sviluppo della sostenibilità nella CS; sostenibilità come opportunità per rinnovare i business esi</w:t>
      </w:r>
      <w:r w:rsidR="009C71DB">
        <w:rPr>
          <w:rFonts w:ascii="Times" w:hAnsi="Times"/>
          <w:noProof/>
          <w:szCs w:val="20"/>
        </w:rPr>
        <w:t>st</w:t>
      </w:r>
      <w:r w:rsidRPr="00276325">
        <w:rPr>
          <w:rFonts w:ascii="Times" w:hAnsi="Times"/>
          <w:noProof/>
          <w:szCs w:val="20"/>
        </w:rPr>
        <w:t>enti o per lanciare nuovi business; logica del valore condiviso e sintesi socio-economiche; la crescente importanza della rendicontazione non finanziaria.</w:t>
      </w:r>
    </w:p>
    <w:p w14:paraId="187F1763" w14:textId="0E1B74DD" w:rsidR="00EB0329" w:rsidRPr="00EB0329" w:rsidRDefault="00EB0329" w:rsidP="00EB0329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Formulare e realizzare una operazione straordinaria</w:t>
      </w:r>
      <w:r>
        <w:rPr>
          <w:rFonts w:ascii="Times" w:hAnsi="Times"/>
          <w:noProof/>
          <w:szCs w:val="20"/>
        </w:rPr>
        <w:t xml:space="preserve">: </w:t>
      </w:r>
      <w:r w:rsidR="00C446D6">
        <w:rPr>
          <w:rFonts w:ascii="Times" w:hAnsi="Times"/>
          <w:noProof/>
          <w:szCs w:val="20"/>
        </w:rPr>
        <w:t>direzioni di innovazion</w:t>
      </w:r>
      <w:r w:rsidR="00B31BBD">
        <w:rPr>
          <w:rFonts w:ascii="Times" w:hAnsi="Times"/>
          <w:noProof/>
          <w:szCs w:val="20"/>
        </w:rPr>
        <w:t>e</w:t>
      </w:r>
      <w:r w:rsidR="00C446D6">
        <w:rPr>
          <w:rFonts w:ascii="Times" w:hAnsi="Times"/>
          <w:noProof/>
          <w:szCs w:val="20"/>
        </w:rPr>
        <w:t xml:space="preserve">; modalità di innovazione; </w:t>
      </w:r>
      <w:r>
        <w:rPr>
          <w:rFonts w:ascii="Times" w:hAnsi="Times"/>
          <w:noProof/>
          <w:szCs w:val="20"/>
        </w:rPr>
        <w:t>classificazione delle operazioni stra</w:t>
      </w:r>
      <w:r w:rsidR="00C446D6">
        <w:rPr>
          <w:rFonts w:ascii="Times" w:hAnsi="Times"/>
          <w:noProof/>
          <w:szCs w:val="20"/>
        </w:rPr>
        <w:t>or</w:t>
      </w:r>
      <w:r>
        <w:rPr>
          <w:rFonts w:ascii="Times" w:hAnsi="Times"/>
          <w:noProof/>
          <w:szCs w:val="20"/>
        </w:rPr>
        <w:t>dinarie; determinazione del prezzo di eventuali ac</w:t>
      </w:r>
      <w:r w:rsidR="00B31BBD">
        <w:rPr>
          <w:rFonts w:ascii="Times" w:hAnsi="Times"/>
          <w:noProof/>
          <w:szCs w:val="20"/>
        </w:rPr>
        <w:t>q</w:t>
      </w:r>
      <w:r>
        <w:rPr>
          <w:rFonts w:ascii="Times" w:hAnsi="Times"/>
          <w:noProof/>
          <w:szCs w:val="20"/>
        </w:rPr>
        <w:t xml:space="preserve">uisizioni o cessioni; </w:t>
      </w:r>
      <w:r w:rsidR="00C446D6">
        <w:rPr>
          <w:rFonts w:ascii="Times" w:hAnsi="Times"/>
          <w:noProof/>
          <w:szCs w:val="20"/>
        </w:rPr>
        <w:t xml:space="preserve">problemi di attuazione; </w:t>
      </w:r>
      <w:r>
        <w:rPr>
          <w:rFonts w:ascii="Times" w:hAnsi="Times"/>
          <w:noProof/>
          <w:szCs w:val="20"/>
        </w:rPr>
        <w:t>operazione straordinaria e creazione di valore economico e sociale.</w:t>
      </w:r>
    </w:p>
    <w:p w14:paraId="5EB0EB1C" w14:textId="1791E38F" w:rsidR="001E1258" w:rsidRP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80AE7">
        <w:rPr>
          <w:rStyle w:val="Rimandonotaapidipagina"/>
          <w:b/>
          <w:i/>
          <w:sz w:val="18"/>
        </w:rPr>
        <w:footnoteReference w:id="1"/>
      </w:r>
    </w:p>
    <w:p w14:paraId="44386936" w14:textId="77777777" w:rsidR="001E1258" w:rsidRPr="00E25D60" w:rsidRDefault="001E1258" w:rsidP="001E1258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bookmarkStart w:id="1" w:name="_Hlk36311149"/>
      <w:r w:rsidRPr="00E25D60">
        <w:rPr>
          <w:rFonts w:ascii="Times" w:hAnsi="Times"/>
          <w:noProof/>
          <w:sz w:val="18"/>
          <w:szCs w:val="20"/>
        </w:rPr>
        <w:t xml:space="preserve">Per i </w:t>
      </w:r>
      <w:r w:rsidRPr="00E25D60">
        <w:rPr>
          <w:rFonts w:ascii="Times" w:hAnsi="Times"/>
          <w:i/>
          <w:noProof/>
          <w:sz w:val="18"/>
          <w:szCs w:val="20"/>
        </w:rPr>
        <w:t>frequentanti</w:t>
      </w:r>
    </w:p>
    <w:p w14:paraId="432926DE" w14:textId="24C833C7" w:rsidR="001E1258" w:rsidRPr="00E607BE" w:rsidRDefault="00E607BE" w:rsidP="005E4088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z w:val="18"/>
          <w:szCs w:val="20"/>
        </w:rPr>
      </w:pPr>
      <w:bookmarkStart w:id="2" w:name="_Hlk36312234"/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Molteni, G.. Invernizzi, M. Pedrini,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Corporate Strategy Lab, McGraw Hill, Milano, 2021 </w:t>
      </w:r>
      <w:r w:rsidRPr="00E607BE">
        <w:rPr>
          <w:rFonts w:ascii="Times" w:hAnsi="Times"/>
          <w:iCs/>
          <w:noProof/>
          <w:spacing w:val="-5"/>
          <w:sz w:val="18"/>
          <w:szCs w:val="20"/>
        </w:rPr>
        <w:t>(</w:t>
      </w:r>
      <w:r>
        <w:rPr>
          <w:rFonts w:ascii="Times" w:hAnsi="Times"/>
          <w:iCs/>
          <w:noProof/>
          <w:spacing w:val="-5"/>
          <w:sz w:val="18"/>
          <w:szCs w:val="20"/>
        </w:rPr>
        <w:t>c</w:t>
      </w:r>
      <w:r w:rsidRPr="00E607BE">
        <w:rPr>
          <w:rFonts w:ascii="Times" w:hAnsi="Times"/>
          <w:iCs/>
          <w:noProof/>
          <w:spacing w:val="-5"/>
          <w:sz w:val="18"/>
          <w:szCs w:val="20"/>
        </w:rPr>
        <w:t xml:space="preserve">apitoli indicati </w:t>
      </w:r>
      <w:r>
        <w:rPr>
          <w:rFonts w:ascii="Times" w:hAnsi="Times"/>
          <w:iCs/>
          <w:noProof/>
          <w:spacing w:val="-5"/>
          <w:sz w:val="18"/>
          <w:szCs w:val="20"/>
        </w:rPr>
        <w:t>nel Syllabus).</w:t>
      </w:r>
      <w:r w:rsidR="002061A1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="00880AE7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9" w:history="1">
        <w:r w:rsidR="00880AE7" w:rsidRPr="00880AE7">
          <w:rPr>
            <w:rStyle w:val="Collegamentoipertestuale"/>
            <w:i/>
            <w:sz w:val="16"/>
            <w:szCs w:val="16"/>
          </w:rPr>
          <w:t>Acquista da VP</w:t>
        </w:r>
      </w:hyperlink>
    </w:p>
    <w:bookmarkEnd w:id="1"/>
    <w:bookmarkEnd w:id="2"/>
    <w:p w14:paraId="473325CB" w14:textId="77777777" w:rsidR="00EB0329" w:rsidRPr="00E25D60" w:rsidRDefault="00EB0329" w:rsidP="00EB0329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E25D60">
        <w:rPr>
          <w:rFonts w:ascii="Times" w:hAnsi="Times"/>
          <w:noProof/>
          <w:sz w:val="18"/>
          <w:szCs w:val="20"/>
        </w:rPr>
        <w:t>Per i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EB0329">
        <w:rPr>
          <w:rFonts w:ascii="Times" w:hAnsi="Times"/>
          <w:i/>
          <w:iCs/>
          <w:noProof/>
          <w:sz w:val="18"/>
          <w:szCs w:val="20"/>
        </w:rPr>
        <w:t>non</w:t>
      </w:r>
      <w:r w:rsidRPr="00E25D60">
        <w:rPr>
          <w:rFonts w:ascii="Times" w:hAnsi="Times"/>
          <w:noProof/>
          <w:sz w:val="18"/>
          <w:szCs w:val="20"/>
        </w:rPr>
        <w:t xml:space="preserve"> </w:t>
      </w:r>
      <w:r w:rsidRPr="00E25D60">
        <w:rPr>
          <w:rFonts w:ascii="Times" w:hAnsi="Times"/>
          <w:i/>
          <w:noProof/>
          <w:sz w:val="18"/>
          <w:szCs w:val="20"/>
        </w:rPr>
        <w:t>frequentanti</w:t>
      </w:r>
    </w:p>
    <w:p w14:paraId="37E420BD" w14:textId="3C3F0B13" w:rsidR="00E607BE" w:rsidRPr="00E607BE" w:rsidRDefault="00E607BE" w:rsidP="00E607B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Molteni, G.. Invernizzi, M. Pedrini,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Corporate Strategy Lab, McGraw Hill, Milano, 2021 </w:t>
      </w:r>
      <w:r w:rsidRPr="00E607BE">
        <w:rPr>
          <w:rFonts w:ascii="Times" w:hAnsi="Times"/>
          <w:iCs/>
          <w:noProof/>
          <w:spacing w:val="-5"/>
          <w:sz w:val="18"/>
          <w:szCs w:val="20"/>
        </w:rPr>
        <w:t>(</w:t>
      </w:r>
      <w:r>
        <w:rPr>
          <w:rFonts w:ascii="Times" w:hAnsi="Times"/>
          <w:iCs/>
          <w:noProof/>
          <w:spacing w:val="-5"/>
          <w:sz w:val="18"/>
          <w:szCs w:val="20"/>
        </w:rPr>
        <w:t>tutto il volume).</w:t>
      </w:r>
      <w:r w:rsidR="002061A1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="00880AE7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0" w:history="1">
        <w:r w:rsidR="00880AE7" w:rsidRPr="00880AE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1EE4E7D5" w14:textId="77777777" w:rsid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9EAB7F" w14:textId="5922600C" w:rsidR="001E1258" w:rsidRPr="006B0D83" w:rsidRDefault="001E1258" w:rsidP="001E1258">
      <w:pPr>
        <w:pStyle w:val="Testo2"/>
      </w:pPr>
      <w:r w:rsidRPr="006B0D83">
        <w:t>Il corso prevede lezioni frontali, discussione di casi aziendali, testimonianze di manager di imprese multibusiness.</w:t>
      </w:r>
    </w:p>
    <w:p w14:paraId="70C23E58" w14:textId="7F631691" w:rsidR="00E607BE" w:rsidRPr="006B0D83" w:rsidRDefault="00E607BE" w:rsidP="001E1258">
      <w:pPr>
        <w:pStyle w:val="Testo2"/>
      </w:pPr>
      <w:r w:rsidRPr="006B0D83">
        <w:t>Al termine della P</w:t>
      </w:r>
      <w:r w:rsidR="00AC118A" w:rsidRPr="006B0D83">
        <w:t xml:space="preserve">arte I </w:t>
      </w:r>
      <w:r w:rsidRPr="006B0D83">
        <w:t xml:space="preserve">del corso (prime 6 settimane) </w:t>
      </w:r>
      <w:r w:rsidR="002C3916" w:rsidRPr="006B0D83">
        <w:t xml:space="preserve">sono previsti: </w:t>
      </w:r>
      <w:r w:rsidRPr="006B0D83">
        <w:t>un</w:t>
      </w:r>
      <w:r w:rsidR="002C3916" w:rsidRPr="006B0D83">
        <w:t xml:space="preserve">a relazione predisposta dai gruppi di studenti definiti a inizio corso; e un </w:t>
      </w:r>
      <w:r w:rsidRPr="006B0D83">
        <w:t>esame individuale</w:t>
      </w:r>
      <w:r w:rsidR="002C3916" w:rsidRPr="006B0D83">
        <w:t xml:space="preserve"> composto da domande a scelta multipla.</w:t>
      </w:r>
    </w:p>
    <w:p w14:paraId="38260E2A" w14:textId="7411005F" w:rsidR="001E1258" w:rsidRPr="00E25D60" w:rsidRDefault="00E607BE" w:rsidP="001E1258">
      <w:pPr>
        <w:pStyle w:val="Testo2"/>
      </w:pPr>
      <w:r w:rsidRPr="006B0D83">
        <w:t xml:space="preserve">Nella </w:t>
      </w:r>
      <w:r w:rsidR="00AC118A" w:rsidRPr="006B0D83">
        <w:t xml:space="preserve">Parte II </w:t>
      </w:r>
      <w:r w:rsidR="001E1258" w:rsidRPr="006B0D83">
        <w:t xml:space="preserve">gli studenti, </w:t>
      </w:r>
      <w:r w:rsidR="00AC118A" w:rsidRPr="006B0D83">
        <w:t>nell’ambito dei</w:t>
      </w:r>
      <w:r w:rsidRPr="006B0D83">
        <w:t xml:space="preserve"> gruppi già formati per la Parte I, </w:t>
      </w:r>
      <w:r w:rsidR="001E1258" w:rsidRPr="006B0D83">
        <w:t xml:space="preserve">dovranno proporre un’operazione volta a modificare il portafoglio business (acquisizione, joint venture, fusione, sviluppo interno, cessione) </w:t>
      </w:r>
      <w:r w:rsidR="00214F75" w:rsidRPr="006B0D83">
        <w:t xml:space="preserve">dell’impresa esaminata, </w:t>
      </w:r>
      <w:r w:rsidR="001E1258" w:rsidRPr="006B0D83">
        <w:t xml:space="preserve">in grado di generare valore </w:t>
      </w:r>
      <w:r w:rsidR="00214F75" w:rsidRPr="006B0D83">
        <w:t xml:space="preserve">sia </w:t>
      </w:r>
      <w:r w:rsidR="00AC118A" w:rsidRPr="006B0D83">
        <w:t xml:space="preserve">per </w:t>
      </w:r>
      <w:r w:rsidR="00214F75" w:rsidRPr="006B0D83">
        <w:t xml:space="preserve">gli azionisti sia per gli altri </w:t>
      </w:r>
      <w:r w:rsidR="001E1258" w:rsidRPr="006B0D83">
        <w:t>stakeholder. Nelle lezioni</w:t>
      </w:r>
      <w:r w:rsidR="001E1258" w:rsidRPr="00E25D60">
        <w:t xml:space="preserve"> conclusive le proposte degli studenti </w:t>
      </w:r>
      <w:r w:rsidR="001E1258">
        <w:t xml:space="preserve">saranno </w:t>
      </w:r>
      <w:r w:rsidR="001E1258" w:rsidRPr="00E25D60">
        <w:t>presentate</w:t>
      </w:r>
      <w:r w:rsidR="001E1258">
        <w:t xml:space="preserve"> prima ai docenti e, in seguito,</w:t>
      </w:r>
      <w:r w:rsidR="001E1258" w:rsidRPr="00E25D60">
        <w:t xml:space="preserve"> a esponenti del top management delle imprese indagate</w:t>
      </w:r>
      <w:r w:rsidR="001E1258">
        <w:t xml:space="preserve">. Questi ultimi avranno modo di discutere con gli </w:t>
      </w:r>
      <w:r w:rsidR="001E1258">
        <w:lastRenderedPageBreak/>
        <w:t>studenti</w:t>
      </w:r>
      <w:r w:rsidR="001E1258" w:rsidRPr="00E25D60">
        <w:t xml:space="preserve"> </w:t>
      </w:r>
      <w:r w:rsidR="001E1258">
        <w:t>ciascuna operazione prospettata, facendone emergere</w:t>
      </w:r>
      <w:r w:rsidR="00214F75">
        <w:t xml:space="preserve"> punti di forza e di debolezza, e</w:t>
      </w:r>
      <w:r w:rsidR="001E1258">
        <w:t xml:space="preserve"> al termine</w:t>
      </w:r>
      <w:r w:rsidR="00214F75">
        <w:t xml:space="preserve"> indicheranno le </w:t>
      </w:r>
      <w:r w:rsidR="001E1258">
        <w:t xml:space="preserve">migliori, spiegandone le ragioni. </w:t>
      </w:r>
    </w:p>
    <w:p w14:paraId="26FA31BC" w14:textId="77777777" w:rsid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3467102" w14:textId="77777777" w:rsidR="00C92747" w:rsidRPr="006B0D83" w:rsidRDefault="00C92747" w:rsidP="00C92747">
      <w:pPr>
        <w:pStyle w:val="Testo2"/>
        <w:ind w:firstLine="0"/>
      </w:pPr>
      <w:r w:rsidRPr="006B0D83">
        <w:t xml:space="preserve">La valutazione per i </w:t>
      </w:r>
      <w:r w:rsidRPr="006B0D83">
        <w:rPr>
          <w:i/>
        </w:rPr>
        <w:t>frequentanti</w:t>
      </w:r>
      <w:r w:rsidRPr="006B0D83">
        <w:t xml:space="preserve"> prevede un mix di elementi:</w:t>
      </w:r>
    </w:p>
    <w:p w14:paraId="101B5EAF" w14:textId="1765A806" w:rsidR="002C3916" w:rsidRPr="006B0D83" w:rsidRDefault="002C3916" w:rsidP="002C3916">
      <w:pPr>
        <w:pStyle w:val="Testo2"/>
        <w:numPr>
          <w:ilvl w:val="0"/>
          <w:numId w:val="1"/>
        </w:numPr>
        <w:tabs>
          <w:tab w:val="clear" w:pos="284"/>
        </w:tabs>
        <w:ind w:left="284" w:hanging="284"/>
      </w:pPr>
      <w:r w:rsidRPr="006B0D83">
        <w:t>valutazione dei docenti di una breve relazione predisposta dai gruppi di studenti al termine della Parte I;</w:t>
      </w:r>
    </w:p>
    <w:p w14:paraId="306A18D1" w14:textId="2CD4887F" w:rsidR="00C92747" w:rsidRPr="006B0D83" w:rsidRDefault="00C92747" w:rsidP="00C92747">
      <w:pPr>
        <w:pStyle w:val="Testo2"/>
        <w:numPr>
          <w:ilvl w:val="0"/>
          <w:numId w:val="1"/>
        </w:numPr>
        <w:tabs>
          <w:tab w:val="clear" w:pos="284"/>
        </w:tabs>
        <w:ind w:left="284" w:hanging="284"/>
      </w:pPr>
      <w:r w:rsidRPr="006B0D83">
        <w:t xml:space="preserve">esame scritto individuale </w:t>
      </w:r>
      <w:r w:rsidR="002C3916" w:rsidRPr="006B0D83">
        <w:t>basato su domande a scelta multipla al termine della Parte I (relativa ad alcuni capitoli del testo);</w:t>
      </w:r>
    </w:p>
    <w:p w14:paraId="73A0AD0B" w14:textId="45076FC2" w:rsidR="00C92747" w:rsidRPr="006B0D83" w:rsidRDefault="00C92747" w:rsidP="00C92747">
      <w:pPr>
        <w:pStyle w:val="Testo2"/>
        <w:numPr>
          <w:ilvl w:val="0"/>
          <w:numId w:val="1"/>
        </w:numPr>
        <w:tabs>
          <w:tab w:val="clear" w:pos="284"/>
        </w:tabs>
        <w:ind w:left="284" w:hanging="284"/>
      </w:pPr>
      <w:r w:rsidRPr="006B0D83">
        <w:t>valutazione d</w:t>
      </w:r>
      <w:r w:rsidR="002C3916" w:rsidRPr="006B0D83">
        <w:t>a parte d</w:t>
      </w:r>
      <w:r w:rsidRPr="006B0D83">
        <w:t>ei docenti dell’operazione straordinaria elaborata dai gruppi;</w:t>
      </w:r>
    </w:p>
    <w:p w14:paraId="22974237" w14:textId="55773D0D" w:rsidR="002C3916" w:rsidRPr="006B0D83" w:rsidRDefault="002C3916" w:rsidP="002C3916">
      <w:pPr>
        <w:pStyle w:val="Paragrafoelenco"/>
        <w:numPr>
          <w:ilvl w:val="0"/>
          <w:numId w:val="1"/>
        </w:numPr>
        <w:rPr>
          <w:rFonts w:ascii="Times" w:hAnsi="Times"/>
          <w:noProof/>
          <w:sz w:val="18"/>
          <w:szCs w:val="20"/>
        </w:rPr>
      </w:pPr>
      <w:r w:rsidRPr="006B0D83">
        <w:t xml:space="preserve">valutazione da parte dei testimoni aziendali </w:t>
      </w:r>
      <w:r w:rsidRPr="006B0D83">
        <w:rPr>
          <w:rFonts w:ascii="Times" w:hAnsi="Times"/>
          <w:noProof/>
          <w:sz w:val="18"/>
          <w:szCs w:val="20"/>
        </w:rPr>
        <w:t>dell’operazione straordinaria elaborata dai gruppi;</w:t>
      </w:r>
    </w:p>
    <w:p w14:paraId="49C3B567" w14:textId="5E6CF9E6" w:rsidR="00C92747" w:rsidRDefault="00C92747" w:rsidP="00C92747">
      <w:pPr>
        <w:pStyle w:val="Testo2"/>
        <w:tabs>
          <w:tab w:val="clear" w:pos="284"/>
        </w:tabs>
        <w:ind w:firstLine="0"/>
      </w:pPr>
      <w:r>
        <w:t>La v</w:t>
      </w:r>
      <w:r w:rsidRPr="00E25D60">
        <w:t xml:space="preserve">alutazione per i </w:t>
      </w:r>
      <w:r w:rsidRPr="00E25D60">
        <w:rPr>
          <w:i/>
        </w:rPr>
        <w:t>non frequentanti</w:t>
      </w:r>
      <w:r w:rsidR="002C3916">
        <w:t xml:space="preserve"> avvi</w:t>
      </w:r>
      <w:r>
        <w:t>ene sulla base di un</w:t>
      </w:r>
      <w:r w:rsidRPr="00E25D60">
        <w:t xml:space="preserve"> esame scritto composto da domande </w:t>
      </w:r>
      <w:r w:rsidR="002C3916">
        <w:t xml:space="preserve">a scelta multipla e da domande </w:t>
      </w:r>
      <w:r w:rsidRPr="00E25D60">
        <w:t>aperte</w:t>
      </w:r>
      <w:r>
        <w:t xml:space="preserve"> relative all’intero testo. </w:t>
      </w:r>
    </w:p>
    <w:p w14:paraId="607A5BD8" w14:textId="77777777" w:rsidR="001E1258" w:rsidRDefault="001E1258" w:rsidP="001E12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224A61" w14:textId="42B17014" w:rsidR="001E1258" w:rsidRDefault="001E1258" w:rsidP="001E1258">
      <w:pPr>
        <w:pStyle w:val="Testo2"/>
      </w:pPr>
      <w:r w:rsidRPr="001E1258">
        <w:t xml:space="preserve">Non sono previste propedeuticità specifiche. È tuttavia opportuno che </w:t>
      </w:r>
      <w:r w:rsidR="00AC118A">
        <w:t>l</w:t>
      </w:r>
      <w:r w:rsidRPr="001E1258">
        <w:t>o studente che accosta questo corso possegga le con</w:t>
      </w:r>
      <w:r w:rsidR="002002B8">
        <w:t>o</w:t>
      </w:r>
      <w:r w:rsidRPr="001E1258">
        <w:t>scenze di base relative alla strategia competitiva a livello di business, che tipicamente si acquiscono in corsi di strategia e politica aziendale di base e in corsi di marketing strategico. È inoltre auspicata la capacità di analisi delle perform</w:t>
      </w:r>
      <w:r w:rsidR="00C446D6">
        <w:t>a</w:t>
      </w:r>
      <w:r w:rsidRPr="001E1258">
        <w:t>nce economi</w:t>
      </w:r>
      <w:r w:rsidR="00AC118A">
        <w:t>c</w:t>
      </w:r>
      <w:r w:rsidRPr="001E1258">
        <w:t>o-finanziarie di un’impresa (analisi di bilancio).</w:t>
      </w:r>
    </w:p>
    <w:p w14:paraId="2B8C4E12" w14:textId="4C6AD95F" w:rsidR="00FC2D3A" w:rsidRPr="001E1258" w:rsidRDefault="00FC2D3A" w:rsidP="00FC2D3A">
      <w:pPr>
        <w:pStyle w:val="Testo2"/>
        <w:spacing w:before="120"/>
      </w:pPr>
      <w:r w:rsidRPr="00FC2D3A">
        <w:rPr>
          <w:i/>
          <w:iCs/>
        </w:rPr>
        <w:t>Nel caso in cui la situazione di emergenza relativa alla pandemia di Covid-19 non dovesse consentire lo svolgimento dell’attività didattica in presenza, sarà garantita l’erogazione dell’insegnamento in distance learning con modalità che saranno comunicate in tempo utile agli studenti.</w:t>
      </w:r>
      <w:r w:rsidR="003B6F5F">
        <w:rPr>
          <w:i/>
          <w:iCs/>
        </w:rPr>
        <w:t xml:space="preserve"> </w:t>
      </w:r>
      <w:r w:rsidR="00C806C7">
        <w:rPr>
          <w:i/>
          <w:iCs/>
        </w:rPr>
        <w:t>Gli esami si svolgeranno secondo le moda</w:t>
      </w:r>
      <w:r w:rsidR="003B6F5F">
        <w:rPr>
          <w:i/>
          <w:iCs/>
        </w:rPr>
        <w:t>l</w:t>
      </w:r>
      <w:r w:rsidR="00C806C7">
        <w:rPr>
          <w:i/>
          <w:iCs/>
        </w:rPr>
        <w:t>ità consentite dall’Ateneo</w:t>
      </w:r>
      <w:r w:rsidR="003B6F5F">
        <w:t>.</w:t>
      </w:r>
    </w:p>
    <w:sectPr w:rsidR="00FC2D3A" w:rsidRPr="001E12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03EA" w14:textId="77777777" w:rsidR="00AE6452" w:rsidRDefault="00AE6452" w:rsidP="000E62C7">
      <w:pPr>
        <w:spacing w:line="240" w:lineRule="auto"/>
      </w:pPr>
      <w:r>
        <w:separator/>
      </w:r>
    </w:p>
  </w:endnote>
  <w:endnote w:type="continuationSeparator" w:id="0">
    <w:p w14:paraId="18366705" w14:textId="77777777" w:rsidR="00AE6452" w:rsidRDefault="00AE6452" w:rsidP="000E6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89F3D" w14:textId="77777777" w:rsidR="00AE6452" w:rsidRDefault="00AE6452" w:rsidP="000E62C7">
      <w:pPr>
        <w:spacing w:line="240" w:lineRule="auto"/>
      </w:pPr>
      <w:r>
        <w:separator/>
      </w:r>
    </w:p>
  </w:footnote>
  <w:footnote w:type="continuationSeparator" w:id="0">
    <w:p w14:paraId="08F043BD" w14:textId="77777777" w:rsidR="00AE6452" w:rsidRDefault="00AE6452" w:rsidP="000E62C7">
      <w:pPr>
        <w:spacing w:line="240" w:lineRule="auto"/>
      </w:pPr>
      <w:r>
        <w:continuationSeparator/>
      </w:r>
    </w:p>
  </w:footnote>
  <w:footnote w:id="1">
    <w:p w14:paraId="52D39BA5" w14:textId="7A8BC7A0" w:rsidR="00880AE7" w:rsidRDefault="00880AE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2FF"/>
    <w:multiLevelType w:val="hybridMultilevel"/>
    <w:tmpl w:val="554A5392"/>
    <w:lvl w:ilvl="0" w:tplc="6C4C259C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213E2B"/>
    <w:multiLevelType w:val="hybridMultilevel"/>
    <w:tmpl w:val="7E888CA0"/>
    <w:lvl w:ilvl="0" w:tplc="056A0E28"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B9"/>
    <w:rsid w:val="00050FEC"/>
    <w:rsid w:val="00060153"/>
    <w:rsid w:val="000E62C7"/>
    <w:rsid w:val="00153DB8"/>
    <w:rsid w:val="00187B99"/>
    <w:rsid w:val="001D0B4C"/>
    <w:rsid w:val="001E1258"/>
    <w:rsid w:val="002002B8"/>
    <w:rsid w:val="002014DD"/>
    <w:rsid w:val="002061A1"/>
    <w:rsid w:val="00214F75"/>
    <w:rsid w:val="002C3916"/>
    <w:rsid w:val="002D5976"/>
    <w:rsid w:val="002D5E17"/>
    <w:rsid w:val="0030277A"/>
    <w:rsid w:val="003B6F5F"/>
    <w:rsid w:val="004719FA"/>
    <w:rsid w:val="00477F0A"/>
    <w:rsid w:val="004D1217"/>
    <w:rsid w:val="004D6008"/>
    <w:rsid w:val="00574D2F"/>
    <w:rsid w:val="005E4088"/>
    <w:rsid w:val="005F4ADB"/>
    <w:rsid w:val="00640794"/>
    <w:rsid w:val="006A3843"/>
    <w:rsid w:val="006B0D83"/>
    <w:rsid w:val="006F1772"/>
    <w:rsid w:val="007E1F43"/>
    <w:rsid w:val="007F1C47"/>
    <w:rsid w:val="00880AE7"/>
    <w:rsid w:val="008942E7"/>
    <w:rsid w:val="008A1204"/>
    <w:rsid w:val="00900CCA"/>
    <w:rsid w:val="00924B77"/>
    <w:rsid w:val="00940DA2"/>
    <w:rsid w:val="009C71DB"/>
    <w:rsid w:val="009E055C"/>
    <w:rsid w:val="00A74F6F"/>
    <w:rsid w:val="00AC118A"/>
    <w:rsid w:val="00AD7557"/>
    <w:rsid w:val="00AE6452"/>
    <w:rsid w:val="00B31BBD"/>
    <w:rsid w:val="00B50C5D"/>
    <w:rsid w:val="00B51253"/>
    <w:rsid w:val="00B525CC"/>
    <w:rsid w:val="00BB7775"/>
    <w:rsid w:val="00BD4EEB"/>
    <w:rsid w:val="00C00B39"/>
    <w:rsid w:val="00C446D6"/>
    <w:rsid w:val="00C806C7"/>
    <w:rsid w:val="00C92747"/>
    <w:rsid w:val="00CA5B90"/>
    <w:rsid w:val="00D2490D"/>
    <w:rsid w:val="00D404F2"/>
    <w:rsid w:val="00D73DF4"/>
    <w:rsid w:val="00E17D79"/>
    <w:rsid w:val="00E607BE"/>
    <w:rsid w:val="00E607E6"/>
    <w:rsid w:val="00E7010D"/>
    <w:rsid w:val="00E83D25"/>
    <w:rsid w:val="00EA4D3F"/>
    <w:rsid w:val="00EB0329"/>
    <w:rsid w:val="00F67EB9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D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E1258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E62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62C7"/>
  </w:style>
  <w:style w:type="character" w:styleId="Rimandonotaapidipagina">
    <w:name w:val="footnote reference"/>
    <w:basedOn w:val="Carpredefinitoparagrafo"/>
    <w:rsid w:val="000E62C7"/>
    <w:rPr>
      <w:vertAlign w:val="superscript"/>
    </w:rPr>
  </w:style>
  <w:style w:type="character" w:styleId="Collegamentoipertestuale">
    <w:name w:val="Hyperlink"/>
    <w:basedOn w:val="Carpredefinitoparagrafo"/>
    <w:rsid w:val="000E62C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73DF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3DF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3DF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3DF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1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17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E1258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E62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62C7"/>
  </w:style>
  <w:style w:type="character" w:styleId="Rimandonotaapidipagina">
    <w:name w:val="footnote reference"/>
    <w:basedOn w:val="Carpredefinitoparagrafo"/>
    <w:rsid w:val="000E62C7"/>
    <w:rPr>
      <w:vertAlign w:val="superscript"/>
    </w:rPr>
  </w:style>
  <w:style w:type="character" w:styleId="Collegamentoipertestuale">
    <w:name w:val="Hyperlink"/>
    <w:basedOn w:val="Carpredefinitoparagrafo"/>
    <w:rsid w:val="000E62C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73DF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3DF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3DF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3DF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1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17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orgio-invernizzi-mario-molteni-matteo-pedrini/corporate-strategy-lab-valutare-e-innovare-le-imprese-multibusiness-9788838655173-6984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orgio-invernizzi-mario-molteni-matteo-pedrini/corporate-strategy-lab-valutare-e-innovare-le-imprese-multibusiness-9788838655173-6984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5165-4A1D-45B7-A2EA-7DF96F3F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885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4</cp:revision>
  <cp:lastPrinted>2003-03-27T10:42:00Z</cp:lastPrinted>
  <dcterms:created xsi:type="dcterms:W3CDTF">2022-04-21T13:23:00Z</dcterms:created>
  <dcterms:modified xsi:type="dcterms:W3CDTF">2022-07-26T12:51:00Z</dcterms:modified>
</cp:coreProperties>
</file>