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8D50" w14:textId="77777777" w:rsidR="00147ABF" w:rsidRPr="00835CBE" w:rsidRDefault="00147ABF" w:rsidP="00147ABF">
      <w:pPr>
        <w:pStyle w:val="Titolo1"/>
        <w:rPr>
          <w:rFonts w:ascii="Times New Roman" w:hAnsi="Times New Roman"/>
        </w:rPr>
      </w:pPr>
      <w:r w:rsidRPr="00835CBE">
        <w:rPr>
          <w:rFonts w:ascii="Times New Roman" w:hAnsi="Times New Roman"/>
        </w:rPr>
        <w:t>Economia monetaria (moneta e finanza)</w:t>
      </w:r>
    </w:p>
    <w:p w14:paraId="6E103690" w14:textId="77777777" w:rsidR="00147ABF" w:rsidRPr="00CD79DF" w:rsidRDefault="00147ABF" w:rsidP="00147ABF">
      <w:pPr>
        <w:pStyle w:val="Titolo2"/>
        <w:rPr>
          <w:rFonts w:ascii="Times New Roman" w:hAnsi="Times New Roman"/>
        </w:rPr>
      </w:pPr>
      <w:r w:rsidRPr="00CD79DF">
        <w:rPr>
          <w:rFonts w:ascii="Times New Roman" w:hAnsi="Times New Roman"/>
        </w:rPr>
        <w:t>Prof. Davide Arnaudo; Prof. Lorenzo Esposito</w:t>
      </w:r>
    </w:p>
    <w:p w14:paraId="7F0A1FEE" w14:textId="77777777" w:rsidR="002D5E17" w:rsidRPr="00102BD0" w:rsidRDefault="00147ABF" w:rsidP="00147ABF">
      <w:pPr>
        <w:spacing w:before="240" w:after="120" w:line="240" w:lineRule="exact"/>
        <w:rPr>
          <w:b/>
          <w:sz w:val="18"/>
          <w:szCs w:val="20"/>
        </w:rPr>
      </w:pPr>
      <w:r w:rsidRPr="00102BD0">
        <w:rPr>
          <w:b/>
          <w:i/>
          <w:sz w:val="18"/>
          <w:szCs w:val="20"/>
        </w:rPr>
        <w:t>OBIETTIVO DEL CORSO E RISULTATI DI APPRENDIMENTO ATTESI</w:t>
      </w:r>
    </w:p>
    <w:p w14:paraId="4277E3C6" w14:textId="77777777" w:rsidR="00147ABF" w:rsidRPr="00212528" w:rsidRDefault="00147ABF" w:rsidP="00CD79DF">
      <w:pPr>
        <w:spacing w:line="240" w:lineRule="exact"/>
      </w:pPr>
      <w:r w:rsidRPr="00212528">
        <w:t xml:space="preserve">Il corso si pone l’obiettivo di fornire gli strumenti analitici utili all’approfondimento della conduzione della politica monetaria e dell’attività di supervisione sul sistema finanziario. </w:t>
      </w:r>
      <w:r w:rsidR="00F65571" w:rsidRPr="00212528">
        <w:t xml:space="preserve">L’insegnamento si compone di due moduli. </w:t>
      </w:r>
      <w:r w:rsidRPr="00212528">
        <w:t xml:space="preserve">Nel primo saranno illustrati alcuni modelli teorici utili all’analisi delle scelte ottimali di politica monetaria e del meccanismo di trasmissione dell’azione delle banche centrali, anche con riferimento al ruolo svolto dalle imperfezioni e dalle asimmetrie informative presenti nel mercato finanziario. Inoltre, alla luce degli aspetti teorici affrontati, si analizzerà l’implementazione della politica monetaria da parte delle Banche centrali, focalizzando l’attenzione sull’azione della Banca Centrale Europea. </w:t>
      </w:r>
      <w:r w:rsidR="00835CBE" w:rsidRPr="00212528">
        <w:t xml:space="preserve">Il secondo modulo si focalizzerà sulle motivazioni a fondamento dell’azione di supervisione del sistema bancario e illustrerà obiettivi, strumenti e assetto istituzionale dell’azione di vigilanza, di tipo sia micro sia macro-prudenziale; </w:t>
      </w:r>
      <w:r w:rsidR="001D60DC">
        <w:t>in questo contesto, si affronteranno i tre “mondi” della vigilanza (strutturale, prudenziale e di tutela). S</w:t>
      </w:r>
      <w:r w:rsidR="00835CBE" w:rsidRPr="00212528">
        <w:t xml:space="preserve">i analizzeranno le principali novità del panorama finanziario internazionale a partire dalla crisi del 2008 e si </w:t>
      </w:r>
      <w:r w:rsidR="001D60DC">
        <w:t>approfondiranno</w:t>
      </w:r>
      <w:r w:rsidR="00835CBE" w:rsidRPr="00212528">
        <w:t xml:space="preserve"> le principali novità del panorama finanziario di oggi (in particolare: </w:t>
      </w:r>
      <w:r w:rsidR="001D60DC">
        <w:t xml:space="preserve">la </w:t>
      </w:r>
      <w:r w:rsidR="00835CBE" w:rsidRPr="00212528">
        <w:t xml:space="preserve">finanza sostenibile e </w:t>
      </w:r>
      <w:r w:rsidR="001D60DC">
        <w:t xml:space="preserve">il </w:t>
      </w:r>
      <w:r w:rsidR="00835CBE" w:rsidRPr="00212528">
        <w:t>fintech).</w:t>
      </w:r>
    </w:p>
    <w:p w14:paraId="0C69F594" w14:textId="77777777" w:rsidR="00147ABF" w:rsidRPr="00212528" w:rsidRDefault="00147ABF" w:rsidP="00CD79DF">
      <w:pPr>
        <w:spacing w:line="240" w:lineRule="exact"/>
      </w:pPr>
      <w:r w:rsidRPr="00212528">
        <w:t>Al termine dell’insegnamento, lo studente conoscerà i principi fondanti dell’assetto istituzionale delle primarie Banche centrali e saprà comprendere sia le motivazioni sottostanti le azioni di policy sia gli obiettivi perseguiti, sviluppando una propria autonomia di giudizio sulla conduzione della politica monetaria. Inoltre, i modelli illustrati nel corso consentiranno allo studente di accrescere le proprie capacità di apprendimento e di affrontare in modo autonomo anche gli sviluppi teorici più recenti nel campo dell’economia monetaria. Infine, lo studente avrà appreso un linguaggio tecnico che gli consentirà di comunicare con chiarezza ed efficacia le conoscenze acquisite.</w:t>
      </w:r>
    </w:p>
    <w:p w14:paraId="57FEEFA7" w14:textId="77777777" w:rsidR="00147ABF" w:rsidRPr="00102BD0" w:rsidRDefault="00147ABF" w:rsidP="00147ABF">
      <w:pPr>
        <w:spacing w:before="240" w:after="120" w:line="240" w:lineRule="exact"/>
        <w:rPr>
          <w:b/>
          <w:sz w:val="18"/>
          <w:szCs w:val="20"/>
        </w:rPr>
      </w:pPr>
      <w:r w:rsidRPr="00102BD0">
        <w:rPr>
          <w:b/>
          <w:i/>
          <w:sz w:val="18"/>
          <w:szCs w:val="20"/>
        </w:rPr>
        <w:t>PROGRAMMA DEL CORSO</w:t>
      </w:r>
    </w:p>
    <w:p w14:paraId="1CB7DEDC" w14:textId="77777777" w:rsidR="00123939" w:rsidRPr="00CD79DF" w:rsidRDefault="00123939" w:rsidP="00123939">
      <w:pPr>
        <w:spacing w:line="240" w:lineRule="exact"/>
        <w:rPr>
          <w:rFonts w:eastAsiaTheme="minorHAnsi"/>
          <w:i/>
          <w:szCs w:val="18"/>
        </w:rPr>
      </w:pPr>
      <w:r w:rsidRPr="00CD79DF">
        <w:rPr>
          <w:rStyle w:val="Titolo2Carattere"/>
          <w:rFonts w:ascii="Times New Roman" w:eastAsiaTheme="minorHAnsi" w:hAnsi="Times New Roman"/>
          <w:sz w:val="20"/>
          <w:szCs w:val="18"/>
        </w:rPr>
        <w:t>Modulo I</w:t>
      </w:r>
      <w:r w:rsidRPr="00CD79DF">
        <w:rPr>
          <w:rFonts w:eastAsiaTheme="minorHAnsi"/>
          <w:szCs w:val="18"/>
        </w:rPr>
        <w:t xml:space="preserve">: </w:t>
      </w:r>
      <w:r w:rsidRPr="00CD79DF">
        <w:rPr>
          <w:rFonts w:eastAsiaTheme="minorHAnsi"/>
          <w:i/>
          <w:szCs w:val="18"/>
          <w:lang w:eastAsia="en-US"/>
        </w:rPr>
        <w:t>Prof. Davide Arnaudo</w:t>
      </w:r>
    </w:p>
    <w:p w14:paraId="54ED5DAF"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Evidenza empirica sulle relazioni tra moneta, inflazione e prodotto.</w:t>
      </w:r>
    </w:p>
    <w:p w14:paraId="312FF285"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La conduzione della politica monetaria, il dibattito regole verso discrezionalità e l’indipendenza della banca centrale.</w:t>
      </w:r>
    </w:p>
    <w:p w14:paraId="17779A08"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Il modello neo-keynesiano dinamico e l’azione di politica monetaria.</w:t>
      </w:r>
    </w:p>
    <w:p w14:paraId="625CE3D8"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lastRenderedPageBreak/>
        <w:t>Struttura per scadenze dei tassi di interesse e meccanismo di trasmissione della politica monetaria.</w:t>
      </w:r>
    </w:p>
    <w:p w14:paraId="209DC57D"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Imperfezioni e asimmetrie informative nei mercati finanziari.</w:t>
      </w:r>
    </w:p>
    <w:p w14:paraId="5FAE1517"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La politica monetaria della Banca Centrale Europea: le misure convenzionali e non convenzionali adottate dalla crisi finanziaria internazionale a quella pandemica.</w:t>
      </w:r>
    </w:p>
    <w:p w14:paraId="6A3CBF0B" w14:textId="7216922F" w:rsidR="00147ABF" w:rsidRPr="00CD79DF" w:rsidRDefault="00147ABF" w:rsidP="00E14E41">
      <w:pPr>
        <w:spacing w:before="120" w:line="240" w:lineRule="exact"/>
        <w:rPr>
          <w:rFonts w:eastAsiaTheme="minorHAnsi"/>
          <w:i/>
          <w:szCs w:val="18"/>
          <w:lang w:eastAsia="en-US"/>
        </w:rPr>
      </w:pPr>
      <w:r w:rsidRPr="00CD79DF">
        <w:rPr>
          <w:rStyle w:val="Titolo2Carattere"/>
          <w:rFonts w:ascii="Times New Roman" w:eastAsiaTheme="minorHAnsi" w:hAnsi="Times New Roman"/>
          <w:sz w:val="20"/>
          <w:szCs w:val="18"/>
        </w:rPr>
        <w:t>Modulo II</w:t>
      </w:r>
      <w:r w:rsidRPr="00CD79DF">
        <w:rPr>
          <w:rFonts w:eastAsiaTheme="minorHAnsi"/>
          <w:szCs w:val="18"/>
          <w:lang w:eastAsia="en-US"/>
        </w:rPr>
        <w:t xml:space="preserve">: </w:t>
      </w:r>
      <w:r w:rsidRPr="00CD79DF">
        <w:rPr>
          <w:rFonts w:eastAsiaTheme="minorHAnsi"/>
          <w:i/>
          <w:szCs w:val="18"/>
          <w:lang w:eastAsia="en-US"/>
        </w:rPr>
        <w:t>Prof. Lorenzo Esposito</w:t>
      </w:r>
    </w:p>
    <w:p w14:paraId="3779FFFC" w14:textId="77777777" w:rsidR="00147ABF" w:rsidRPr="00CD79DF" w:rsidRDefault="00147ABF" w:rsidP="00E14E41">
      <w:pPr>
        <w:pStyle w:val="Paragrafoelenco"/>
        <w:numPr>
          <w:ilvl w:val="0"/>
          <w:numId w:val="3"/>
        </w:numPr>
        <w:ind w:left="284" w:hanging="284"/>
        <w:rPr>
          <w:rFonts w:eastAsiaTheme="minorHAnsi"/>
          <w:szCs w:val="18"/>
          <w:lang w:eastAsia="en-US"/>
        </w:rPr>
      </w:pPr>
      <w:r w:rsidRPr="00CD79DF">
        <w:rPr>
          <w:rFonts w:eastAsiaTheme="minorHAnsi"/>
          <w:szCs w:val="18"/>
          <w:lang w:eastAsia="en-US"/>
        </w:rPr>
        <w:t>Visioni della finanziarizzazione, della moneta e delle banche.</w:t>
      </w:r>
    </w:p>
    <w:p w14:paraId="5E5E2B1B" w14:textId="77777777" w:rsidR="00147ABF" w:rsidRPr="00CD79DF" w:rsidRDefault="00147ABF" w:rsidP="00E14E41">
      <w:pPr>
        <w:pStyle w:val="Paragrafoelenco"/>
        <w:numPr>
          <w:ilvl w:val="0"/>
          <w:numId w:val="3"/>
        </w:numPr>
        <w:ind w:left="284" w:hanging="284"/>
        <w:rPr>
          <w:rFonts w:eastAsiaTheme="minorHAnsi"/>
          <w:szCs w:val="18"/>
          <w:lang w:eastAsia="en-US"/>
        </w:rPr>
      </w:pPr>
      <w:r w:rsidRPr="00CD79DF">
        <w:rPr>
          <w:rFonts w:eastAsiaTheme="minorHAnsi"/>
          <w:szCs w:val="18"/>
          <w:lang w:eastAsia="en-US"/>
        </w:rPr>
        <w:t>Efficienza e dinamica dei mercati finanziari: aspettative, razionalità e contagio: ragioni e sviluppo delle crisi bancarie e finanziarie.</w:t>
      </w:r>
      <w:r w:rsidR="00B27CCB" w:rsidRPr="00CD79DF">
        <w:rPr>
          <w:rFonts w:eastAsiaTheme="minorHAnsi"/>
          <w:szCs w:val="18"/>
          <w:lang w:eastAsia="en-US"/>
        </w:rPr>
        <w:t xml:space="preserve"> L’apporto della finanza comportamentale alla moderna visione dei mercati.</w:t>
      </w:r>
    </w:p>
    <w:p w14:paraId="5DA88C5D" w14:textId="77777777" w:rsidR="00147ABF" w:rsidRDefault="00147ABF" w:rsidP="00E14E41">
      <w:pPr>
        <w:pStyle w:val="Paragrafoelenco"/>
        <w:numPr>
          <w:ilvl w:val="0"/>
          <w:numId w:val="3"/>
        </w:numPr>
        <w:ind w:left="284" w:hanging="284"/>
        <w:rPr>
          <w:rFonts w:eastAsiaTheme="minorHAnsi"/>
          <w:szCs w:val="18"/>
          <w:lang w:eastAsia="en-US"/>
        </w:rPr>
      </w:pPr>
      <w:r w:rsidRPr="00CD79DF">
        <w:rPr>
          <w:rFonts w:eastAsiaTheme="minorHAnsi"/>
          <w:szCs w:val="18"/>
          <w:lang w:eastAsia="en-US"/>
        </w:rPr>
        <w:t>La regolamentazione bancaria e finanziaria: ragioni, obiettivi e strumenti.</w:t>
      </w:r>
    </w:p>
    <w:p w14:paraId="261DB8A8" w14:textId="77777777" w:rsidR="001D60DC" w:rsidRPr="00CD79DF" w:rsidRDefault="001D60DC" w:rsidP="00E14E41">
      <w:pPr>
        <w:pStyle w:val="Paragrafoelenco"/>
        <w:numPr>
          <w:ilvl w:val="0"/>
          <w:numId w:val="3"/>
        </w:numPr>
        <w:ind w:left="284" w:hanging="284"/>
        <w:rPr>
          <w:rFonts w:eastAsiaTheme="minorHAnsi"/>
          <w:szCs w:val="18"/>
          <w:lang w:eastAsia="en-US"/>
        </w:rPr>
      </w:pPr>
      <w:r>
        <w:rPr>
          <w:rFonts w:eastAsiaTheme="minorHAnsi"/>
          <w:szCs w:val="18"/>
          <w:lang w:eastAsia="en-US"/>
        </w:rPr>
        <w:t>I tre mondi della vigilanza: strutturale, prudenziale e di tutels.</w:t>
      </w:r>
    </w:p>
    <w:p w14:paraId="5D41DBF2" w14:textId="32CB328E" w:rsidR="00835CBE" w:rsidRDefault="00835CBE" w:rsidP="00835CBE">
      <w:pPr>
        <w:pStyle w:val="Paragrafoelenco"/>
        <w:numPr>
          <w:ilvl w:val="0"/>
          <w:numId w:val="3"/>
        </w:numPr>
        <w:ind w:left="284" w:hanging="284"/>
        <w:rPr>
          <w:rFonts w:eastAsiaTheme="minorHAnsi"/>
          <w:szCs w:val="18"/>
          <w:lang w:eastAsia="en-US"/>
        </w:rPr>
      </w:pPr>
      <w:r w:rsidRPr="00CD79DF">
        <w:rPr>
          <w:rFonts w:eastAsiaTheme="minorHAnsi"/>
          <w:szCs w:val="18"/>
          <w:lang w:eastAsia="en-US"/>
        </w:rPr>
        <w:t>Sviluppi della vigilanza dopo la crisi (analisi macroprudenziale, Unione Bancaria, finanza sostenibile, fintech); legami con la politica monetaria. Finanza sostenibile; fintech.</w:t>
      </w:r>
    </w:p>
    <w:p w14:paraId="429FC7BA" w14:textId="6E88DD4F" w:rsidR="00147ABF" w:rsidRPr="00102BD0" w:rsidRDefault="00147ABF" w:rsidP="00E14E41">
      <w:pPr>
        <w:spacing w:before="240" w:after="120"/>
        <w:rPr>
          <w:b/>
          <w:i/>
          <w:sz w:val="18"/>
          <w:szCs w:val="20"/>
        </w:rPr>
      </w:pPr>
      <w:r w:rsidRPr="00102BD0">
        <w:rPr>
          <w:b/>
          <w:i/>
          <w:sz w:val="18"/>
          <w:szCs w:val="20"/>
        </w:rPr>
        <w:t>BIBLIOGRAFIA</w:t>
      </w:r>
      <w:r w:rsidR="007905E4">
        <w:rPr>
          <w:rStyle w:val="Rimandonotaapidipagina"/>
          <w:b/>
          <w:i/>
          <w:sz w:val="18"/>
          <w:szCs w:val="20"/>
        </w:rPr>
        <w:footnoteReference w:id="1"/>
      </w:r>
    </w:p>
    <w:p w14:paraId="590BCFC8" w14:textId="7E499664" w:rsidR="00123939" w:rsidRPr="00212528" w:rsidRDefault="00123939" w:rsidP="00123939">
      <w:pPr>
        <w:spacing w:line="240" w:lineRule="exact"/>
        <w:rPr>
          <w:rFonts w:eastAsia="MS Mincho"/>
          <w:sz w:val="18"/>
          <w:szCs w:val="18"/>
          <w:lang w:eastAsia="en-US"/>
        </w:rPr>
      </w:pPr>
      <w:r>
        <w:rPr>
          <w:rFonts w:eastAsia="MS Mincho"/>
          <w:sz w:val="18"/>
          <w:szCs w:val="18"/>
          <w:lang w:eastAsia="en-US"/>
        </w:rPr>
        <w:tab/>
      </w:r>
      <w:r w:rsidRPr="00212528">
        <w:rPr>
          <w:rFonts w:eastAsia="MS Mincho"/>
          <w:sz w:val="18"/>
          <w:szCs w:val="18"/>
          <w:lang w:eastAsia="en-US"/>
        </w:rPr>
        <w:t>Per il modulo I</w:t>
      </w:r>
    </w:p>
    <w:p w14:paraId="352F1502" w14:textId="61508F02" w:rsidR="00123939" w:rsidRPr="00212528" w:rsidRDefault="00123939" w:rsidP="00123939">
      <w:pPr>
        <w:pStyle w:val="Paragrafoelenco"/>
        <w:numPr>
          <w:ilvl w:val="0"/>
          <w:numId w:val="3"/>
        </w:numPr>
        <w:tabs>
          <w:tab w:val="clear" w:pos="284"/>
          <w:tab w:val="left" w:pos="426"/>
        </w:tabs>
        <w:spacing w:line="240" w:lineRule="atLeast"/>
        <w:ind w:left="284" w:hanging="284"/>
        <w:rPr>
          <w:spacing w:val="-5"/>
          <w:sz w:val="18"/>
          <w:szCs w:val="18"/>
        </w:rPr>
      </w:pPr>
      <w:r w:rsidRPr="00212528">
        <w:rPr>
          <w:rFonts w:eastAsiaTheme="minorHAnsi"/>
          <w:sz w:val="18"/>
          <w:szCs w:val="18"/>
          <w:lang w:eastAsia="en-US"/>
        </w:rPr>
        <w:t xml:space="preserve">F.C. Bagliano-G. Marotta, </w:t>
      </w:r>
      <w:r w:rsidRPr="00212528">
        <w:rPr>
          <w:rFonts w:eastAsiaTheme="minorHAnsi"/>
          <w:i/>
          <w:sz w:val="18"/>
          <w:szCs w:val="18"/>
          <w:lang w:eastAsia="en-US"/>
        </w:rPr>
        <w:t>Economia monetaria</w:t>
      </w:r>
      <w:r w:rsidRPr="00212528">
        <w:rPr>
          <w:rFonts w:eastAsiaTheme="minorHAnsi"/>
          <w:sz w:val="18"/>
          <w:szCs w:val="18"/>
          <w:lang w:eastAsia="en-US"/>
        </w:rPr>
        <w:t>, Il Mulino, 2010.</w:t>
      </w:r>
      <w:r w:rsidR="007905E4">
        <w:rPr>
          <w:rFonts w:eastAsiaTheme="minorHAnsi"/>
          <w:sz w:val="18"/>
          <w:szCs w:val="18"/>
          <w:lang w:eastAsia="en-US"/>
        </w:rPr>
        <w:t xml:space="preserve"> </w:t>
      </w:r>
      <w:hyperlink r:id="rId9" w:history="1">
        <w:r w:rsidR="007905E4" w:rsidRPr="007905E4">
          <w:rPr>
            <w:rStyle w:val="Collegamentoipertestuale"/>
            <w:i/>
            <w:sz w:val="16"/>
            <w:szCs w:val="16"/>
          </w:rPr>
          <w:t>Acquista da VP</w:t>
        </w:r>
      </w:hyperlink>
    </w:p>
    <w:p w14:paraId="6A45B009" w14:textId="043D431B" w:rsidR="00123939" w:rsidRPr="00212528" w:rsidRDefault="00123939" w:rsidP="00123939">
      <w:pPr>
        <w:pStyle w:val="Paragrafoelenco"/>
        <w:numPr>
          <w:ilvl w:val="0"/>
          <w:numId w:val="3"/>
        </w:numPr>
        <w:tabs>
          <w:tab w:val="clear" w:pos="284"/>
          <w:tab w:val="left" w:pos="426"/>
        </w:tabs>
        <w:spacing w:line="240" w:lineRule="atLeast"/>
        <w:ind w:left="284" w:hanging="284"/>
        <w:rPr>
          <w:rFonts w:eastAsiaTheme="minorHAnsi"/>
          <w:sz w:val="18"/>
          <w:szCs w:val="18"/>
          <w:lang w:eastAsia="en-US"/>
        </w:rPr>
      </w:pPr>
      <w:r w:rsidRPr="00212528">
        <w:rPr>
          <w:rFonts w:eastAsiaTheme="minorHAnsi"/>
          <w:sz w:val="18"/>
          <w:szCs w:val="18"/>
          <w:lang w:eastAsia="en-US"/>
        </w:rPr>
        <w:t xml:space="preserve">G. Di Giorgio, </w:t>
      </w:r>
      <w:r w:rsidRPr="00212528">
        <w:rPr>
          <w:rFonts w:eastAsiaTheme="minorHAnsi"/>
          <w:i/>
          <w:sz w:val="18"/>
          <w:szCs w:val="18"/>
          <w:lang w:eastAsia="en-US"/>
        </w:rPr>
        <w:t>Economia e politica monetaria</w:t>
      </w:r>
      <w:r w:rsidRPr="00212528">
        <w:rPr>
          <w:rFonts w:eastAsiaTheme="minorHAnsi"/>
          <w:sz w:val="18"/>
          <w:szCs w:val="18"/>
          <w:lang w:eastAsia="en-US"/>
        </w:rPr>
        <w:t xml:space="preserve">, </w:t>
      </w:r>
      <w:proofErr w:type="spellStart"/>
      <w:r w:rsidRPr="00212528">
        <w:rPr>
          <w:rFonts w:eastAsiaTheme="minorHAnsi"/>
          <w:sz w:val="18"/>
          <w:szCs w:val="18"/>
          <w:lang w:eastAsia="en-US"/>
        </w:rPr>
        <w:t>Wolters</w:t>
      </w:r>
      <w:proofErr w:type="spellEnd"/>
      <w:r w:rsidRPr="00212528">
        <w:rPr>
          <w:rFonts w:eastAsiaTheme="minorHAnsi"/>
          <w:sz w:val="18"/>
          <w:szCs w:val="18"/>
          <w:lang w:eastAsia="en-US"/>
        </w:rPr>
        <w:t xml:space="preserve"> </w:t>
      </w:r>
      <w:proofErr w:type="spellStart"/>
      <w:r w:rsidRPr="00212528">
        <w:rPr>
          <w:rFonts w:eastAsiaTheme="minorHAnsi"/>
          <w:sz w:val="18"/>
          <w:szCs w:val="18"/>
          <w:lang w:eastAsia="en-US"/>
        </w:rPr>
        <w:t>Kluwer</w:t>
      </w:r>
      <w:proofErr w:type="spellEnd"/>
      <w:r w:rsidRPr="00212528">
        <w:rPr>
          <w:rFonts w:eastAsiaTheme="minorHAnsi"/>
          <w:sz w:val="18"/>
          <w:szCs w:val="18"/>
          <w:lang w:eastAsia="en-US"/>
        </w:rPr>
        <w:t>, 2016.</w:t>
      </w:r>
      <w:r w:rsidR="007905E4">
        <w:rPr>
          <w:rFonts w:eastAsiaTheme="minorHAnsi"/>
          <w:sz w:val="18"/>
          <w:szCs w:val="18"/>
          <w:lang w:eastAsia="en-US"/>
        </w:rPr>
        <w:t xml:space="preserve"> </w:t>
      </w:r>
      <w:hyperlink r:id="rId10" w:history="1">
        <w:r w:rsidR="007905E4" w:rsidRPr="007905E4">
          <w:rPr>
            <w:rStyle w:val="Collegamentoipertestuale"/>
            <w:i/>
            <w:sz w:val="16"/>
            <w:szCs w:val="16"/>
          </w:rPr>
          <w:t>Acquista da VP</w:t>
        </w:r>
      </w:hyperlink>
    </w:p>
    <w:p w14:paraId="0E7F3FF6" w14:textId="77777777" w:rsidR="00123939" w:rsidRPr="00FA4C9B" w:rsidRDefault="00123939" w:rsidP="00123939">
      <w:pPr>
        <w:tabs>
          <w:tab w:val="clear" w:pos="284"/>
          <w:tab w:val="left" w:pos="426"/>
        </w:tabs>
        <w:spacing w:line="240" w:lineRule="atLeast"/>
        <w:rPr>
          <w:rFonts w:eastAsiaTheme="minorHAnsi"/>
          <w:sz w:val="18"/>
          <w:szCs w:val="18"/>
          <w:lang w:eastAsia="en-US"/>
        </w:rPr>
      </w:pPr>
      <w:r w:rsidRPr="00FA4C9B">
        <w:rPr>
          <w:rFonts w:eastAsiaTheme="minorHAnsi"/>
          <w:sz w:val="18"/>
          <w:szCs w:val="18"/>
          <w:lang w:eastAsia="en-US"/>
        </w:rPr>
        <w:t>Indicazioni precise sulle sezioni di interesse e ulteriori riferimenti bibliografici saranno forniti nel corso delle lezioni. Il materiale didattico integrativo sarà reso disponibile in Blackboard.</w:t>
      </w:r>
    </w:p>
    <w:p w14:paraId="06BE0B3B" w14:textId="681B76EF" w:rsidR="00147ABF" w:rsidRDefault="00123939" w:rsidP="00123939">
      <w:pPr>
        <w:spacing w:before="120" w:line="240" w:lineRule="exact"/>
        <w:rPr>
          <w:rFonts w:eastAsia="MS Mincho"/>
          <w:sz w:val="18"/>
          <w:szCs w:val="18"/>
          <w:lang w:eastAsia="en-US"/>
        </w:rPr>
      </w:pPr>
      <w:r>
        <w:rPr>
          <w:rFonts w:eastAsia="MS Mincho"/>
          <w:sz w:val="18"/>
          <w:szCs w:val="18"/>
          <w:lang w:eastAsia="en-US"/>
        </w:rPr>
        <w:tab/>
      </w:r>
      <w:r w:rsidR="00147ABF" w:rsidRPr="00212528">
        <w:rPr>
          <w:rFonts w:eastAsia="MS Mincho"/>
          <w:sz w:val="18"/>
          <w:szCs w:val="18"/>
          <w:lang w:eastAsia="en-US"/>
        </w:rPr>
        <w:t>Per il modulo II</w:t>
      </w:r>
    </w:p>
    <w:p w14:paraId="43C1960C" w14:textId="0BB8DB24" w:rsidR="001D60DC" w:rsidRPr="001D60DC" w:rsidRDefault="001D60DC" w:rsidP="001D60DC">
      <w:pPr>
        <w:pStyle w:val="Paragrafoelenco"/>
        <w:numPr>
          <w:ilvl w:val="0"/>
          <w:numId w:val="3"/>
        </w:numPr>
        <w:tabs>
          <w:tab w:val="clear" w:pos="284"/>
          <w:tab w:val="left" w:pos="426"/>
        </w:tabs>
        <w:spacing w:line="240" w:lineRule="atLeast"/>
        <w:ind w:left="284" w:hanging="284"/>
        <w:rPr>
          <w:rFonts w:eastAsia="MS Mincho"/>
          <w:sz w:val="18"/>
          <w:szCs w:val="18"/>
          <w:lang w:eastAsia="en-US"/>
        </w:rPr>
      </w:pPr>
      <w:r w:rsidRPr="001D60DC">
        <w:rPr>
          <w:rFonts w:eastAsia="MS Mincho"/>
          <w:sz w:val="18"/>
          <w:szCs w:val="18"/>
          <w:lang w:eastAsia="en-US"/>
        </w:rPr>
        <w:t xml:space="preserve">L. Esposito, G. Mastromatteo, </w:t>
      </w:r>
      <w:r w:rsidRPr="001D60DC">
        <w:rPr>
          <w:rFonts w:eastAsia="MS Mincho"/>
          <w:i/>
          <w:sz w:val="18"/>
          <w:szCs w:val="18"/>
          <w:lang w:eastAsia="en-US"/>
        </w:rPr>
        <w:t>La vigilanza bancaria. Storia, teorie, prospettive</w:t>
      </w:r>
      <w:r w:rsidRPr="001D60DC">
        <w:rPr>
          <w:rFonts w:eastAsia="MS Mincho"/>
          <w:sz w:val="18"/>
          <w:szCs w:val="18"/>
          <w:lang w:eastAsia="en-US"/>
        </w:rPr>
        <w:t>, Carocci Editore, 2021</w:t>
      </w:r>
      <w:r w:rsidR="007905E4">
        <w:rPr>
          <w:rFonts w:eastAsia="MS Mincho"/>
          <w:sz w:val="18"/>
          <w:szCs w:val="18"/>
          <w:lang w:eastAsia="en-US"/>
        </w:rPr>
        <w:t xml:space="preserve"> </w:t>
      </w:r>
      <w:hyperlink r:id="rId11" w:history="1">
        <w:r w:rsidR="007905E4" w:rsidRPr="007905E4">
          <w:rPr>
            <w:rStyle w:val="Collegamentoipertestuale"/>
            <w:i/>
            <w:sz w:val="16"/>
            <w:szCs w:val="16"/>
          </w:rPr>
          <w:t>Acquista da VP</w:t>
        </w:r>
      </w:hyperlink>
      <w:bookmarkStart w:id="0" w:name="_GoBack"/>
      <w:bookmarkEnd w:id="0"/>
    </w:p>
    <w:p w14:paraId="74A62C5D" w14:textId="77777777" w:rsidR="00147ABF" w:rsidRPr="00FA4C9B" w:rsidRDefault="00147ABF" w:rsidP="00FA4C9B">
      <w:pPr>
        <w:tabs>
          <w:tab w:val="clear" w:pos="284"/>
          <w:tab w:val="left" w:pos="426"/>
        </w:tabs>
        <w:spacing w:line="240" w:lineRule="atLeast"/>
        <w:rPr>
          <w:rFonts w:eastAsiaTheme="minorHAnsi"/>
          <w:sz w:val="18"/>
          <w:szCs w:val="18"/>
          <w:lang w:eastAsia="en-US"/>
        </w:rPr>
      </w:pPr>
      <w:r w:rsidRPr="00FA4C9B">
        <w:rPr>
          <w:rFonts w:eastAsiaTheme="minorHAnsi"/>
          <w:sz w:val="18"/>
          <w:szCs w:val="18"/>
          <w:lang w:eastAsia="en-US"/>
        </w:rPr>
        <w:t>Ulteriori riferimenti bibliografici saranno forniti nel corso delle lezioni. Il materiale didattico integrativo sarà reso disponibile in Blackboard.</w:t>
      </w:r>
    </w:p>
    <w:p w14:paraId="2600DC1B" w14:textId="77777777" w:rsidR="00147ABF" w:rsidRPr="00102BD0" w:rsidRDefault="00147ABF" w:rsidP="00147ABF">
      <w:pPr>
        <w:spacing w:before="240" w:after="120"/>
        <w:rPr>
          <w:b/>
          <w:i/>
          <w:sz w:val="18"/>
          <w:szCs w:val="20"/>
        </w:rPr>
      </w:pPr>
      <w:r w:rsidRPr="00102BD0">
        <w:rPr>
          <w:b/>
          <w:i/>
          <w:sz w:val="18"/>
          <w:szCs w:val="20"/>
        </w:rPr>
        <w:t>DIDATTICA DEL CORSO</w:t>
      </w:r>
    </w:p>
    <w:p w14:paraId="56EE4C48" w14:textId="77777777" w:rsidR="00123939" w:rsidRPr="00123939" w:rsidRDefault="00123939" w:rsidP="00123939">
      <w:pPr>
        <w:pStyle w:val="Testo2"/>
      </w:pPr>
      <w:r w:rsidRPr="00123939">
        <w:t>Lezioni frontali. I due moduli verranno svolti in modo sequenziale e le lezioni verranno tenute in aula dai docenti.</w:t>
      </w:r>
    </w:p>
    <w:p w14:paraId="0B3DCE92" w14:textId="77777777" w:rsidR="00147ABF" w:rsidRPr="00102BD0" w:rsidRDefault="00147ABF" w:rsidP="00147ABF">
      <w:pPr>
        <w:spacing w:before="240" w:after="120"/>
        <w:rPr>
          <w:b/>
          <w:i/>
          <w:sz w:val="18"/>
          <w:szCs w:val="20"/>
        </w:rPr>
      </w:pPr>
      <w:r w:rsidRPr="00102BD0">
        <w:rPr>
          <w:b/>
          <w:i/>
          <w:sz w:val="18"/>
          <w:szCs w:val="20"/>
        </w:rPr>
        <w:t>METODO E CRITERI DI VALUTAZIONE</w:t>
      </w:r>
    </w:p>
    <w:p w14:paraId="7539CB0C" w14:textId="77777777" w:rsidR="00123939" w:rsidRPr="00123939" w:rsidRDefault="00123939" w:rsidP="00123939">
      <w:pPr>
        <w:pStyle w:val="Testo2"/>
      </w:pPr>
      <w:r w:rsidRPr="00123939">
        <w:lastRenderedPageBreak/>
        <w:t xml:space="preserve">L’esame è scritto e non prevede l’orale. La prova scritta consiste di quattro quesiti con risposte aperte, di cui due riferiti al primo modulo e due al secondo (a scelta tra tre quesiti proposti per ciascun modulo). Non sono previste prove infra annuali / intermedie. La valutazione è globale e riferita a entrambi i moduli di cui si compone l’insegnamento. </w:t>
      </w:r>
    </w:p>
    <w:p w14:paraId="4241B939" w14:textId="77777777" w:rsidR="00147ABF" w:rsidRPr="00102BD0" w:rsidRDefault="00147ABF" w:rsidP="00147ABF">
      <w:pPr>
        <w:spacing w:before="240" w:after="120" w:line="240" w:lineRule="exact"/>
        <w:rPr>
          <w:b/>
          <w:i/>
          <w:sz w:val="18"/>
          <w:szCs w:val="20"/>
        </w:rPr>
      </w:pPr>
      <w:r w:rsidRPr="00102BD0">
        <w:rPr>
          <w:b/>
          <w:i/>
          <w:sz w:val="18"/>
          <w:szCs w:val="20"/>
        </w:rPr>
        <w:t>AVVERTENZE E PREREQUISITI</w:t>
      </w:r>
    </w:p>
    <w:p w14:paraId="6E6BA96E" w14:textId="6A05AD5E" w:rsidR="0087406E" w:rsidRPr="00212528" w:rsidRDefault="00123939" w:rsidP="00123939">
      <w:pPr>
        <w:pStyle w:val="Testo2"/>
        <w:rPr>
          <w:rFonts w:ascii="Times New Roman" w:hAnsi="Times New Roman"/>
          <w:szCs w:val="18"/>
        </w:rPr>
      </w:pPr>
      <w:r w:rsidRPr="00212528">
        <w:rPr>
          <w:rFonts w:ascii="Times New Roman" w:hAnsi="Times New Roman"/>
          <w:szCs w:val="18"/>
        </w:rPr>
        <w:t xml:space="preserve">È consigliata la frequenza sistematica delle lezioni in quanto il programma d’esame si basa sul contenuto e sugli argomenti svolti in classe con eventuali integrazioni seminariali di esperti invitati. </w:t>
      </w:r>
      <w:r w:rsidRPr="00212528">
        <w:rPr>
          <w:rFonts w:ascii="Times New Roman" w:eastAsia="MS Mincho" w:hAnsi="Times New Roman"/>
          <w:szCs w:val="18"/>
          <w:lang w:eastAsia="en-US"/>
        </w:rPr>
        <w:t>Per apprezzare appieno i contenuti dell’insegnamento sono necessarie le usuali conoscenze di matematica generale e di macroeconomia</w:t>
      </w:r>
      <w:r w:rsidR="00147ABF" w:rsidRPr="00212528">
        <w:rPr>
          <w:rFonts w:ascii="Times New Roman" w:eastAsia="MS Mincho" w:hAnsi="Times New Roman"/>
          <w:szCs w:val="18"/>
          <w:lang w:eastAsia="en-US"/>
        </w:rPr>
        <w:t>.</w:t>
      </w:r>
    </w:p>
    <w:sectPr w:rsidR="0087406E" w:rsidRPr="002125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C3C0F" w14:textId="77777777" w:rsidR="007905E4" w:rsidRDefault="007905E4" w:rsidP="007905E4">
      <w:pPr>
        <w:spacing w:line="240" w:lineRule="auto"/>
      </w:pPr>
      <w:r>
        <w:separator/>
      </w:r>
    </w:p>
  </w:endnote>
  <w:endnote w:type="continuationSeparator" w:id="0">
    <w:p w14:paraId="518D39D8" w14:textId="77777777" w:rsidR="007905E4" w:rsidRDefault="007905E4" w:rsidP="00790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DAEB" w14:textId="77777777" w:rsidR="007905E4" w:rsidRDefault="007905E4" w:rsidP="007905E4">
      <w:pPr>
        <w:spacing w:line="240" w:lineRule="auto"/>
      </w:pPr>
      <w:r>
        <w:separator/>
      </w:r>
    </w:p>
  </w:footnote>
  <w:footnote w:type="continuationSeparator" w:id="0">
    <w:p w14:paraId="5F01D3E0" w14:textId="77777777" w:rsidR="007905E4" w:rsidRDefault="007905E4" w:rsidP="007905E4">
      <w:pPr>
        <w:spacing w:line="240" w:lineRule="auto"/>
      </w:pPr>
      <w:r>
        <w:continuationSeparator/>
      </w:r>
    </w:p>
  </w:footnote>
  <w:footnote w:id="1">
    <w:p w14:paraId="139F1A49" w14:textId="5254329D" w:rsidR="007905E4" w:rsidRDefault="007905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6B39"/>
    <w:multiLevelType w:val="hybridMultilevel"/>
    <w:tmpl w:val="2632B284"/>
    <w:lvl w:ilvl="0" w:tplc="7848FB1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9E5508"/>
    <w:multiLevelType w:val="hybridMultilevel"/>
    <w:tmpl w:val="BFAA5792"/>
    <w:lvl w:ilvl="0" w:tplc="8DC2B460">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18051C"/>
    <w:multiLevelType w:val="hybridMultilevel"/>
    <w:tmpl w:val="819E11A8"/>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AA4A4E"/>
    <w:multiLevelType w:val="hybridMultilevel"/>
    <w:tmpl w:val="2F309D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E7052B6"/>
    <w:multiLevelType w:val="hybridMultilevel"/>
    <w:tmpl w:val="71E851B0"/>
    <w:lvl w:ilvl="0" w:tplc="4A668854">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7A"/>
    <w:rsid w:val="000633BA"/>
    <w:rsid w:val="00102BD0"/>
    <w:rsid w:val="00123939"/>
    <w:rsid w:val="00147ABF"/>
    <w:rsid w:val="00187B99"/>
    <w:rsid w:val="001D60DC"/>
    <w:rsid w:val="002014DD"/>
    <w:rsid w:val="00212528"/>
    <w:rsid w:val="00270BDB"/>
    <w:rsid w:val="00271932"/>
    <w:rsid w:val="002D5E17"/>
    <w:rsid w:val="004500C1"/>
    <w:rsid w:val="004D1217"/>
    <w:rsid w:val="004D6008"/>
    <w:rsid w:val="004F6A57"/>
    <w:rsid w:val="005B5A41"/>
    <w:rsid w:val="00640794"/>
    <w:rsid w:val="006F1772"/>
    <w:rsid w:val="00751455"/>
    <w:rsid w:val="007905E4"/>
    <w:rsid w:val="00835CBE"/>
    <w:rsid w:val="0087406E"/>
    <w:rsid w:val="008942E7"/>
    <w:rsid w:val="008A1204"/>
    <w:rsid w:val="00900CCA"/>
    <w:rsid w:val="00924B77"/>
    <w:rsid w:val="00940DA2"/>
    <w:rsid w:val="009E055C"/>
    <w:rsid w:val="00A74F6F"/>
    <w:rsid w:val="00AD7557"/>
    <w:rsid w:val="00B27CCB"/>
    <w:rsid w:val="00B50C5D"/>
    <w:rsid w:val="00B51253"/>
    <w:rsid w:val="00B525CC"/>
    <w:rsid w:val="00B5777A"/>
    <w:rsid w:val="00CA106C"/>
    <w:rsid w:val="00CD79DF"/>
    <w:rsid w:val="00D362DB"/>
    <w:rsid w:val="00D404F2"/>
    <w:rsid w:val="00E14E41"/>
    <w:rsid w:val="00E607E6"/>
    <w:rsid w:val="00F65571"/>
    <w:rsid w:val="00FA4C9B"/>
    <w:rsid w:val="00FE3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60D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47ABF"/>
    <w:pPr>
      <w:spacing w:line="240" w:lineRule="exact"/>
      <w:ind w:left="720"/>
      <w:contextualSpacing/>
    </w:pPr>
  </w:style>
  <w:style w:type="paragraph" w:styleId="Testofumetto">
    <w:name w:val="Balloon Text"/>
    <w:basedOn w:val="Normale"/>
    <w:link w:val="TestofumettoCarattere"/>
    <w:rsid w:val="00CA10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A106C"/>
    <w:rPr>
      <w:rFonts w:ascii="Segoe UI" w:hAnsi="Segoe UI" w:cs="Segoe UI"/>
      <w:sz w:val="18"/>
      <w:szCs w:val="18"/>
    </w:rPr>
  </w:style>
  <w:style w:type="paragraph" w:styleId="Testonotaapidipagina">
    <w:name w:val="footnote text"/>
    <w:basedOn w:val="Normale"/>
    <w:link w:val="TestonotaapidipaginaCarattere"/>
    <w:rsid w:val="007905E4"/>
    <w:pPr>
      <w:spacing w:line="240" w:lineRule="auto"/>
    </w:pPr>
    <w:rPr>
      <w:szCs w:val="20"/>
    </w:rPr>
  </w:style>
  <w:style w:type="character" w:customStyle="1" w:styleId="TestonotaapidipaginaCarattere">
    <w:name w:val="Testo nota a piè di pagina Carattere"/>
    <w:basedOn w:val="Carpredefinitoparagrafo"/>
    <w:link w:val="Testonotaapidipagina"/>
    <w:rsid w:val="007905E4"/>
  </w:style>
  <w:style w:type="character" w:styleId="Rimandonotaapidipagina">
    <w:name w:val="footnote reference"/>
    <w:basedOn w:val="Carpredefinitoparagrafo"/>
    <w:rsid w:val="007905E4"/>
    <w:rPr>
      <w:vertAlign w:val="superscript"/>
    </w:rPr>
  </w:style>
  <w:style w:type="character" w:styleId="Collegamentoipertestuale">
    <w:name w:val="Hyperlink"/>
    <w:basedOn w:val="Carpredefinitoparagrafo"/>
    <w:rsid w:val="007905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60D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47ABF"/>
    <w:pPr>
      <w:spacing w:line="240" w:lineRule="exact"/>
      <w:ind w:left="720"/>
      <w:contextualSpacing/>
    </w:pPr>
  </w:style>
  <w:style w:type="paragraph" w:styleId="Testofumetto">
    <w:name w:val="Balloon Text"/>
    <w:basedOn w:val="Normale"/>
    <w:link w:val="TestofumettoCarattere"/>
    <w:rsid w:val="00CA10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A106C"/>
    <w:rPr>
      <w:rFonts w:ascii="Segoe UI" w:hAnsi="Segoe UI" w:cs="Segoe UI"/>
      <w:sz w:val="18"/>
      <w:szCs w:val="18"/>
    </w:rPr>
  </w:style>
  <w:style w:type="paragraph" w:styleId="Testonotaapidipagina">
    <w:name w:val="footnote text"/>
    <w:basedOn w:val="Normale"/>
    <w:link w:val="TestonotaapidipaginaCarattere"/>
    <w:rsid w:val="007905E4"/>
    <w:pPr>
      <w:spacing w:line="240" w:lineRule="auto"/>
    </w:pPr>
    <w:rPr>
      <w:szCs w:val="20"/>
    </w:rPr>
  </w:style>
  <w:style w:type="character" w:customStyle="1" w:styleId="TestonotaapidipaginaCarattere">
    <w:name w:val="Testo nota a piè di pagina Carattere"/>
    <w:basedOn w:val="Carpredefinitoparagrafo"/>
    <w:link w:val="Testonotaapidipagina"/>
    <w:rsid w:val="007905E4"/>
  </w:style>
  <w:style w:type="character" w:styleId="Rimandonotaapidipagina">
    <w:name w:val="footnote reference"/>
    <w:basedOn w:val="Carpredefinitoparagrafo"/>
    <w:rsid w:val="007905E4"/>
    <w:rPr>
      <w:vertAlign w:val="superscript"/>
    </w:rPr>
  </w:style>
  <w:style w:type="character" w:styleId="Collegamentoipertestuale">
    <w:name w:val="Hyperlink"/>
    <w:basedOn w:val="Carpredefinitoparagrafo"/>
    <w:rsid w:val="00790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orenzo-esposito-giuseppe-mastromatteo/la-vigilanza-bancaria-storia-teorie-prospettive-9788829009459-700558.html" TargetMode="External"/><Relationship Id="rId5" Type="http://schemas.openxmlformats.org/officeDocument/2006/relationships/settings" Target="settings.xml"/><Relationship Id="rId10" Type="http://schemas.openxmlformats.org/officeDocument/2006/relationships/hyperlink" Target="https://librerie.unicatt.it/scheda-libro/giorgio-di-giorgio/economia-e-politica-monetaria-9788813373368-696961.html" TargetMode="External"/><Relationship Id="rId4" Type="http://schemas.microsoft.com/office/2007/relationships/stylesWithEffects" Target="stylesWithEffects.xml"/><Relationship Id="rId9" Type="http://schemas.openxmlformats.org/officeDocument/2006/relationships/hyperlink" Target="https://librerie.unicatt.it/scheda-libro/fabio-c-bagliano-giuseppe-marotta/economia-monetaria-9788815138590-2587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28A9-6773-4E33-A21A-A09BD00C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692</Words>
  <Characters>4733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2022-05-03T08:39:00Z</dcterms:created>
  <dcterms:modified xsi:type="dcterms:W3CDTF">2022-07-26T06:43:00Z</dcterms:modified>
</cp:coreProperties>
</file>