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69B9" w14:textId="77777777" w:rsidR="002008E5" w:rsidRPr="009C249D" w:rsidRDefault="00F35866" w:rsidP="006F0002">
      <w:pPr>
        <w:pStyle w:val="Titolo1"/>
        <w:spacing w:before="0" w:after="0"/>
        <w:rPr>
          <w:sz w:val="20"/>
          <w:szCs w:val="20"/>
          <w:lang w:val="en-GB"/>
        </w:rPr>
      </w:pPr>
      <w:r w:rsidRPr="009C249D">
        <w:rPr>
          <w:sz w:val="20"/>
          <w:szCs w:val="20"/>
          <w:lang w:val="en-GB"/>
        </w:rPr>
        <w:t>Research into Education Work</w:t>
      </w:r>
    </w:p>
    <w:p w14:paraId="10EAC4D5" w14:textId="71981B52" w:rsidR="00C668D4" w:rsidRPr="009C249D" w:rsidRDefault="00F35866" w:rsidP="00C668D4">
      <w:pPr>
        <w:pStyle w:val="Titolo2"/>
        <w:spacing w:before="0"/>
        <w:rPr>
          <w:lang w:val="en-GB"/>
        </w:rPr>
      </w:pPr>
      <w:r w:rsidRPr="009C249D">
        <w:rPr>
          <w:lang w:val="en-GB"/>
        </w:rPr>
        <w:t>Prof. Cristina Lisimberti</w:t>
      </w:r>
    </w:p>
    <w:p w14:paraId="2C953FBB" w14:textId="77777777" w:rsidR="00880379" w:rsidRPr="009C249D" w:rsidRDefault="00880379" w:rsidP="00880379">
      <w:pPr>
        <w:spacing w:before="240" w:after="120"/>
        <w:rPr>
          <w:b/>
          <w:i/>
          <w:sz w:val="18"/>
          <w:lang w:val="en-GB"/>
        </w:rPr>
      </w:pPr>
      <w:r w:rsidRPr="009C249D">
        <w:rPr>
          <w:b/>
          <w:i/>
          <w:sz w:val="18"/>
          <w:lang w:val="en-GB"/>
        </w:rPr>
        <w:t xml:space="preserve">COURSE AIMS AND INTENDED LEARNING OUTCOMES </w:t>
      </w:r>
    </w:p>
    <w:p w14:paraId="0FF3F8FD" w14:textId="743A8D9A" w:rsidR="00FE37D4" w:rsidRPr="009C249D" w:rsidRDefault="00E81D15" w:rsidP="00FE37D4">
      <w:pPr>
        <w:rPr>
          <w:lang w:val="en-GB"/>
        </w:rPr>
      </w:pPr>
      <w:r w:rsidRPr="009C249D">
        <w:rPr>
          <w:rFonts w:eastAsia="Times"/>
          <w:lang w:val="en-GB"/>
        </w:rPr>
        <w:t>The course aims to provide basic knowledge, promote the acquisition of application skills</w:t>
      </w:r>
      <w:r w:rsidR="00E40E88" w:rsidRPr="009C249D">
        <w:rPr>
          <w:rFonts w:eastAsia="Times"/>
          <w:lang w:val="en-GB"/>
        </w:rPr>
        <w:t>,</w:t>
      </w:r>
      <w:r w:rsidRPr="009C249D">
        <w:rPr>
          <w:rFonts w:eastAsia="Times"/>
          <w:lang w:val="en-GB"/>
        </w:rPr>
        <w:t xml:space="preserve"> and </w:t>
      </w:r>
      <w:r w:rsidR="00E40E88" w:rsidRPr="009C249D">
        <w:rPr>
          <w:rFonts w:eastAsia="Times"/>
          <w:lang w:val="en-GB"/>
        </w:rPr>
        <w:t>introduce</w:t>
      </w:r>
      <w:r w:rsidRPr="009C249D">
        <w:rPr>
          <w:rFonts w:eastAsia="Times"/>
          <w:lang w:val="en-GB"/>
        </w:rPr>
        <w:t xml:space="preserve"> the development of methodological skills useful for </w:t>
      </w:r>
      <w:r w:rsidR="00E40E88" w:rsidRPr="009C249D">
        <w:rPr>
          <w:rFonts w:eastAsia="Times"/>
          <w:lang w:val="en-GB"/>
        </w:rPr>
        <w:t xml:space="preserve">becoming familiar with </w:t>
      </w:r>
      <w:r w:rsidRPr="009C249D">
        <w:rPr>
          <w:rFonts w:eastAsia="Times"/>
          <w:lang w:val="en-GB"/>
        </w:rPr>
        <w:t>the field of empirical research in the educational field</w:t>
      </w:r>
      <w:r w:rsidR="00FE37D4" w:rsidRPr="009C249D">
        <w:rPr>
          <w:lang w:val="en-GB"/>
        </w:rPr>
        <w:t>.</w:t>
      </w:r>
    </w:p>
    <w:p w14:paraId="552560B3" w14:textId="412F5766" w:rsidR="00F7377B" w:rsidRPr="009C249D" w:rsidRDefault="00AD402C" w:rsidP="00F7377B">
      <w:pPr>
        <w:spacing w:before="120"/>
        <w:rPr>
          <w:i/>
          <w:szCs w:val="20"/>
          <w:lang w:val="en-GB"/>
        </w:rPr>
      </w:pPr>
      <w:r w:rsidRPr="009C249D">
        <w:rPr>
          <w:i/>
          <w:szCs w:val="20"/>
          <w:lang w:val="en-GB"/>
        </w:rPr>
        <w:t>Knowledge and understanding</w:t>
      </w:r>
    </w:p>
    <w:p w14:paraId="710133AB" w14:textId="2473E964" w:rsidR="00F7377B" w:rsidRPr="009C249D" w:rsidRDefault="00F7377B" w:rsidP="00F7377B">
      <w:pPr>
        <w:rPr>
          <w:szCs w:val="20"/>
          <w:lang w:val="en-GB"/>
        </w:rPr>
      </w:pPr>
      <w:r w:rsidRPr="009C249D">
        <w:rPr>
          <w:szCs w:val="20"/>
          <w:lang w:val="en-GB"/>
        </w:rPr>
        <w:t>A</w:t>
      </w:r>
      <w:r w:rsidR="00AD402C" w:rsidRPr="009C249D">
        <w:rPr>
          <w:szCs w:val="20"/>
          <w:lang w:val="en-GB"/>
        </w:rPr>
        <w:t xml:space="preserve">t the end of the course, students will </w:t>
      </w:r>
      <w:r w:rsidR="00851B9F" w:rsidRPr="009C249D">
        <w:rPr>
          <w:szCs w:val="20"/>
          <w:lang w:val="en-GB"/>
        </w:rPr>
        <w:t>know</w:t>
      </w:r>
      <w:r w:rsidRPr="009C249D">
        <w:rPr>
          <w:szCs w:val="20"/>
          <w:lang w:val="en-GB"/>
        </w:rPr>
        <w:t>:</w:t>
      </w:r>
    </w:p>
    <w:p w14:paraId="2A9AFDD9" w14:textId="693E7890" w:rsidR="00FE37D4" w:rsidRPr="009C249D" w:rsidRDefault="00FE37D4" w:rsidP="00FE37D4">
      <w:pPr>
        <w:ind w:left="284" w:hanging="284"/>
        <w:rPr>
          <w:lang w:val="en-GB"/>
        </w:rPr>
      </w:pPr>
      <w:r w:rsidRPr="009C249D">
        <w:rPr>
          <w:lang w:val="en-GB"/>
        </w:rPr>
        <w:t>–</w:t>
      </w:r>
      <w:r w:rsidRPr="009C249D">
        <w:rPr>
          <w:lang w:val="en-GB"/>
        </w:rPr>
        <w:tab/>
      </w:r>
      <w:r w:rsidR="00E81D15" w:rsidRPr="009C249D">
        <w:rPr>
          <w:lang w:val="en-GB"/>
        </w:rPr>
        <w:t>the characteristics and specificities of research in the educational field, with particular attention to contexts and services aimed at children</w:t>
      </w:r>
    </w:p>
    <w:p w14:paraId="516A7A37" w14:textId="0BAB89FD" w:rsidR="00AD402C" w:rsidRPr="009C249D" w:rsidRDefault="00F7377B" w:rsidP="00AD402C">
      <w:pPr>
        <w:rPr>
          <w:szCs w:val="20"/>
          <w:lang w:val="en-GB"/>
        </w:rPr>
      </w:pPr>
      <w:r w:rsidRPr="009C249D">
        <w:rPr>
          <w:szCs w:val="20"/>
          <w:lang w:val="en-GB"/>
        </w:rPr>
        <w:t xml:space="preserve">- </w:t>
      </w:r>
      <w:r w:rsidR="00851B9F" w:rsidRPr="009C249D">
        <w:rPr>
          <w:szCs w:val="20"/>
          <w:lang w:val="en-GB"/>
        </w:rPr>
        <w:t xml:space="preserve">the </w:t>
      </w:r>
      <w:r w:rsidR="00AD402C" w:rsidRPr="009C249D">
        <w:rPr>
          <w:szCs w:val="20"/>
          <w:lang w:val="en-GB"/>
        </w:rPr>
        <w:t>empirical research strategies in the educational field</w:t>
      </w:r>
    </w:p>
    <w:p w14:paraId="7CDF6120" w14:textId="77777777" w:rsidR="00AD402C" w:rsidRPr="009C249D" w:rsidRDefault="00AD402C" w:rsidP="00AD402C">
      <w:pPr>
        <w:rPr>
          <w:szCs w:val="20"/>
          <w:lang w:val="en-GB"/>
        </w:rPr>
      </w:pPr>
      <w:r w:rsidRPr="009C249D">
        <w:rPr>
          <w:szCs w:val="20"/>
          <w:lang w:val="en-GB"/>
        </w:rPr>
        <w:t>- the articulation of the empirical research process</w:t>
      </w:r>
    </w:p>
    <w:p w14:paraId="209DFDF7" w14:textId="77777777" w:rsidR="00AD402C" w:rsidRPr="009C249D" w:rsidRDefault="00AD402C" w:rsidP="00AD402C">
      <w:pPr>
        <w:rPr>
          <w:szCs w:val="20"/>
          <w:lang w:val="en-GB"/>
        </w:rPr>
      </w:pPr>
      <w:r w:rsidRPr="009C249D">
        <w:rPr>
          <w:szCs w:val="20"/>
          <w:lang w:val="en-GB"/>
        </w:rPr>
        <w:t>- the main data collection tools</w:t>
      </w:r>
    </w:p>
    <w:p w14:paraId="57CABD47" w14:textId="7D1195A1" w:rsidR="00FE37D4" w:rsidRPr="009C249D" w:rsidRDefault="00FE37D4" w:rsidP="00FE37D4">
      <w:pPr>
        <w:rPr>
          <w:rFonts w:eastAsia="Times"/>
          <w:lang w:val="en-GB"/>
        </w:rPr>
      </w:pPr>
      <w:r w:rsidRPr="009C249D">
        <w:rPr>
          <w:lang w:val="en-GB"/>
        </w:rPr>
        <w:t>–</w:t>
      </w:r>
      <w:r w:rsidR="00E81D15" w:rsidRPr="009C249D">
        <w:rPr>
          <w:lang w:val="en-GB"/>
        </w:rPr>
        <w:t xml:space="preserve"> </w:t>
      </w:r>
      <w:r w:rsidR="00E40E88" w:rsidRPr="009C249D">
        <w:rPr>
          <w:lang w:val="en-GB"/>
        </w:rPr>
        <w:t xml:space="preserve">how to </w:t>
      </w:r>
      <w:r w:rsidR="00E81D15" w:rsidRPr="009C249D">
        <w:rPr>
          <w:lang w:val="en-GB"/>
        </w:rPr>
        <w:t>appropriately choose devices and tools for data collection</w:t>
      </w:r>
      <w:r w:rsidRPr="009C249D">
        <w:rPr>
          <w:lang w:val="en-GB"/>
        </w:rPr>
        <w:t>.</w:t>
      </w:r>
    </w:p>
    <w:p w14:paraId="4FD00321" w14:textId="23C067CD" w:rsidR="00F7377B" w:rsidRPr="009C249D" w:rsidRDefault="00F7377B" w:rsidP="00814BC5">
      <w:pPr>
        <w:spacing w:before="120"/>
        <w:rPr>
          <w:i/>
          <w:szCs w:val="20"/>
          <w:lang w:val="en-GB"/>
        </w:rPr>
      </w:pPr>
      <w:r w:rsidRPr="009C249D">
        <w:rPr>
          <w:i/>
          <w:szCs w:val="20"/>
          <w:lang w:val="en-GB"/>
        </w:rPr>
        <w:t>Appl</w:t>
      </w:r>
      <w:r w:rsidR="00AD402C" w:rsidRPr="009C249D">
        <w:rPr>
          <w:i/>
          <w:szCs w:val="20"/>
          <w:lang w:val="en-GB"/>
        </w:rPr>
        <w:t>y knowledge and understan</w:t>
      </w:r>
      <w:r w:rsidR="00851B9F" w:rsidRPr="009C249D">
        <w:rPr>
          <w:i/>
          <w:szCs w:val="20"/>
          <w:lang w:val="en-GB"/>
        </w:rPr>
        <w:t>d</w:t>
      </w:r>
      <w:r w:rsidR="00AD402C" w:rsidRPr="009C249D">
        <w:rPr>
          <w:i/>
          <w:szCs w:val="20"/>
          <w:lang w:val="en-GB"/>
        </w:rPr>
        <w:t xml:space="preserve">ing </w:t>
      </w:r>
    </w:p>
    <w:p w14:paraId="7A14EFF0" w14:textId="3A8C70B7" w:rsidR="00F7377B" w:rsidRPr="009C249D" w:rsidRDefault="00AD402C" w:rsidP="00F7377B">
      <w:pPr>
        <w:rPr>
          <w:szCs w:val="20"/>
          <w:lang w:val="en-GB"/>
        </w:rPr>
      </w:pPr>
      <w:r w:rsidRPr="009C249D">
        <w:rPr>
          <w:szCs w:val="20"/>
          <w:lang w:val="en-GB"/>
        </w:rPr>
        <w:t>At the end of the course, students will be able to</w:t>
      </w:r>
      <w:r w:rsidR="00F7377B" w:rsidRPr="009C249D">
        <w:rPr>
          <w:szCs w:val="20"/>
          <w:lang w:val="en-GB"/>
        </w:rPr>
        <w:t xml:space="preserve">: </w:t>
      </w:r>
    </w:p>
    <w:p w14:paraId="15A2A09D" w14:textId="77777777" w:rsidR="00AD402C" w:rsidRPr="009C249D" w:rsidRDefault="00F7377B" w:rsidP="00AD402C">
      <w:pPr>
        <w:rPr>
          <w:szCs w:val="20"/>
          <w:lang w:val="en-GB"/>
        </w:rPr>
      </w:pPr>
      <w:r w:rsidRPr="009C249D">
        <w:rPr>
          <w:szCs w:val="20"/>
          <w:lang w:val="en-GB"/>
        </w:rPr>
        <w:t xml:space="preserve">- </w:t>
      </w:r>
      <w:r w:rsidR="00AD402C" w:rsidRPr="009C249D">
        <w:rPr>
          <w:szCs w:val="20"/>
          <w:lang w:val="en-GB"/>
        </w:rPr>
        <w:t>correctly use the specific language of the discipline</w:t>
      </w:r>
    </w:p>
    <w:p w14:paraId="1AF85FC2" w14:textId="7904B3D0" w:rsidR="00AD402C" w:rsidRPr="009C249D" w:rsidRDefault="00AD402C" w:rsidP="00AD402C">
      <w:pPr>
        <w:rPr>
          <w:szCs w:val="20"/>
          <w:lang w:val="en-GB"/>
        </w:rPr>
      </w:pPr>
      <w:r w:rsidRPr="009C249D">
        <w:rPr>
          <w:szCs w:val="20"/>
          <w:lang w:val="en-GB"/>
        </w:rPr>
        <w:t>- read, understand</w:t>
      </w:r>
      <w:r w:rsidR="00851B9F" w:rsidRPr="009C249D">
        <w:rPr>
          <w:szCs w:val="20"/>
          <w:lang w:val="en-GB"/>
        </w:rPr>
        <w:t>,</w:t>
      </w:r>
      <w:r w:rsidRPr="009C249D">
        <w:rPr>
          <w:szCs w:val="20"/>
          <w:lang w:val="en-GB"/>
        </w:rPr>
        <w:t xml:space="preserve"> and critically analy</w:t>
      </w:r>
      <w:r w:rsidR="00851B9F" w:rsidRPr="009C249D">
        <w:rPr>
          <w:szCs w:val="20"/>
          <w:lang w:val="en-GB"/>
        </w:rPr>
        <w:t>s</w:t>
      </w:r>
      <w:r w:rsidRPr="009C249D">
        <w:rPr>
          <w:szCs w:val="20"/>
          <w:lang w:val="en-GB"/>
        </w:rPr>
        <w:t>e empirical research reports in the educational field</w:t>
      </w:r>
    </w:p>
    <w:p w14:paraId="2FB4FD19" w14:textId="71A43DAD" w:rsidR="00F7377B" w:rsidRPr="009C249D" w:rsidRDefault="00AD402C" w:rsidP="00F7377B">
      <w:pPr>
        <w:rPr>
          <w:lang w:val="en-GB"/>
        </w:rPr>
      </w:pPr>
      <w:r w:rsidRPr="009C249D">
        <w:rPr>
          <w:szCs w:val="20"/>
          <w:lang w:val="en-GB"/>
        </w:rPr>
        <w:t xml:space="preserve">- identify and build </w:t>
      </w:r>
      <w:r w:rsidR="00851B9F" w:rsidRPr="009C249D">
        <w:rPr>
          <w:szCs w:val="20"/>
          <w:lang w:val="en-GB"/>
        </w:rPr>
        <w:t>survey</w:t>
      </w:r>
      <w:r w:rsidRPr="009C249D">
        <w:rPr>
          <w:szCs w:val="20"/>
          <w:lang w:val="en-GB"/>
        </w:rPr>
        <w:t xml:space="preserve"> devices to be used in educational contexts</w:t>
      </w:r>
      <w:r w:rsidR="00F7377B" w:rsidRPr="009C249D">
        <w:rPr>
          <w:lang w:val="en-GB"/>
        </w:rPr>
        <w:t>.</w:t>
      </w:r>
    </w:p>
    <w:p w14:paraId="2E40A1AA" w14:textId="77777777" w:rsidR="002008E5" w:rsidRPr="009C249D" w:rsidRDefault="00F35866">
      <w:pPr>
        <w:spacing w:before="240" w:after="120"/>
        <w:rPr>
          <w:lang w:val="en-GB"/>
        </w:rPr>
      </w:pPr>
      <w:r w:rsidRPr="009C249D">
        <w:rPr>
          <w:b/>
          <w:i/>
          <w:sz w:val="18"/>
          <w:lang w:val="en-GB"/>
        </w:rPr>
        <w:t>COURSE CONTENT</w:t>
      </w:r>
    </w:p>
    <w:p w14:paraId="066C8920" w14:textId="1E6FEBDF" w:rsidR="00FE37D4" w:rsidRPr="009C249D" w:rsidRDefault="00E81D15" w:rsidP="00FE37D4">
      <w:pPr>
        <w:rPr>
          <w:lang w:val="en-GB"/>
        </w:rPr>
      </w:pPr>
      <w:r w:rsidRPr="009C249D">
        <w:rPr>
          <w:lang w:val="en-GB"/>
        </w:rPr>
        <w:t>The course will provide and in-depth analysis of the following themes</w:t>
      </w:r>
      <w:r w:rsidR="00FE37D4" w:rsidRPr="009C249D">
        <w:rPr>
          <w:lang w:val="en-GB"/>
        </w:rPr>
        <w:t>:</w:t>
      </w:r>
    </w:p>
    <w:p w14:paraId="0CD54B72" w14:textId="0312D987" w:rsidR="00FE37D4" w:rsidRPr="009C249D" w:rsidRDefault="00FE37D4" w:rsidP="00FE37D4">
      <w:pPr>
        <w:ind w:left="284" w:hanging="284"/>
        <w:rPr>
          <w:lang w:val="en-GB"/>
        </w:rPr>
      </w:pPr>
      <w:r w:rsidRPr="009C249D">
        <w:rPr>
          <w:lang w:val="en-GB"/>
        </w:rPr>
        <w:t>a.</w:t>
      </w:r>
      <w:r w:rsidRPr="009C249D">
        <w:rPr>
          <w:lang w:val="en-GB"/>
        </w:rPr>
        <w:tab/>
      </w:r>
      <w:r w:rsidR="00C83957" w:rsidRPr="009C249D">
        <w:rPr>
          <w:lang w:val="en-GB"/>
        </w:rPr>
        <w:t>Research as a resource for educational work</w:t>
      </w:r>
    </w:p>
    <w:p w14:paraId="6DBC1E71" w14:textId="23A0C152" w:rsidR="00FE37D4" w:rsidRPr="009C249D" w:rsidRDefault="00FE37D4" w:rsidP="00FE37D4">
      <w:pPr>
        <w:ind w:left="284" w:hanging="284"/>
        <w:rPr>
          <w:lang w:val="en-GB"/>
        </w:rPr>
      </w:pPr>
      <w:r w:rsidRPr="009C249D">
        <w:rPr>
          <w:lang w:val="en-GB"/>
        </w:rPr>
        <w:t>b.</w:t>
      </w:r>
      <w:r w:rsidRPr="009C249D">
        <w:rPr>
          <w:lang w:val="en-GB"/>
        </w:rPr>
        <w:tab/>
      </w:r>
      <w:r w:rsidR="00C83957" w:rsidRPr="009C249D">
        <w:rPr>
          <w:lang w:val="en-GB"/>
        </w:rPr>
        <w:t xml:space="preserve">Research as an opportunity for educational services (with particular attention to childcare services) </w:t>
      </w:r>
    </w:p>
    <w:p w14:paraId="64E8C092" w14:textId="69252521" w:rsidR="00FE37D4" w:rsidRPr="009C249D" w:rsidRDefault="00FE37D4" w:rsidP="00FE37D4">
      <w:pPr>
        <w:ind w:left="284" w:hanging="284"/>
        <w:rPr>
          <w:lang w:val="en-GB"/>
        </w:rPr>
      </w:pPr>
      <w:r w:rsidRPr="009C249D">
        <w:rPr>
          <w:lang w:val="en-GB"/>
        </w:rPr>
        <w:t>c.</w:t>
      </w:r>
      <w:r w:rsidRPr="009C249D">
        <w:rPr>
          <w:lang w:val="en-GB"/>
        </w:rPr>
        <w:tab/>
      </w:r>
      <w:r w:rsidR="00C83957" w:rsidRPr="009C249D">
        <w:rPr>
          <w:lang w:val="en-GB"/>
        </w:rPr>
        <w:t xml:space="preserve">The main types of empirical research </w:t>
      </w:r>
    </w:p>
    <w:p w14:paraId="5030940E" w14:textId="510E419F" w:rsidR="00FE37D4" w:rsidRPr="009C249D" w:rsidRDefault="00FE37D4" w:rsidP="00FE37D4">
      <w:pPr>
        <w:ind w:left="284" w:hanging="284"/>
        <w:rPr>
          <w:lang w:val="en-GB"/>
        </w:rPr>
      </w:pPr>
      <w:r w:rsidRPr="009C249D">
        <w:rPr>
          <w:lang w:val="en-GB"/>
        </w:rPr>
        <w:t>d.</w:t>
      </w:r>
      <w:r w:rsidRPr="009C249D">
        <w:rPr>
          <w:lang w:val="en-GB"/>
        </w:rPr>
        <w:tab/>
      </w:r>
      <w:r w:rsidR="00C83957" w:rsidRPr="009C249D">
        <w:rPr>
          <w:lang w:val="en-GB"/>
        </w:rPr>
        <w:t xml:space="preserve">The design of an empirical research (phases, tasks) </w:t>
      </w:r>
    </w:p>
    <w:p w14:paraId="72ACAFF4" w14:textId="14231B65" w:rsidR="00FE37D4" w:rsidRPr="009C249D" w:rsidRDefault="00FE37D4" w:rsidP="00FE37D4">
      <w:pPr>
        <w:ind w:left="284" w:hanging="284"/>
        <w:rPr>
          <w:lang w:val="en-GB"/>
        </w:rPr>
      </w:pPr>
      <w:r w:rsidRPr="009C249D">
        <w:rPr>
          <w:lang w:val="en-GB"/>
        </w:rPr>
        <w:t>e.</w:t>
      </w:r>
      <w:r w:rsidRPr="009C249D">
        <w:rPr>
          <w:lang w:val="en-GB"/>
        </w:rPr>
        <w:tab/>
      </w:r>
      <w:r w:rsidR="00C83957" w:rsidRPr="009C249D">
        <w:rPr>
          <w:lang w:val="en-GB"/>
        </w:rPr>
        <w:t xml:space="preserve">The tools for data collection (observational methods, questionnaires, interviews) </w:t>
      </w:r>
    </w:p>
    <w:p w14:paraId="65E71FCB" w14:textId="76FA22B4" w:rsidR="00FE37D4" w:rsidRPr="009C249D" w:rsidRDefault="00FE37D4" w:rsidP="00FE37D4">
      <w:pPr>
        <w:ind w:left="284" w:hanging="284"/>
        <w:rPr>
          <w:lang w:val="en-GB"/>
        </w:rPr>
      </w:pPr>
      <w:r w:rsidRPr="009C249D">
        <w:rPr>
          <w:lang w:val="en-GB"/>
        </w:rPr>
        <w:t>f.</w:t>
      </w:r>
      <w:r w:rsidRPr="009C249D">
        <w:rPr>
          <w:lang w:val="en-GB"/>
        </w:rPr>
        <w:tab/>
      </w:r>
      <w:r w:rsidR="00C83957" w:rsidRPr="009C249D">
        <w:rPr>
          <w:lang w:val="en-GB"/>
        </w:rPr>
        <w:t xml:space="preserve">Examples of empirical research in and for childcare services </w:t>
      </w:r>
    </w:p>
    <w:p w14:paraId="4EC99195" w14:textId="77777777" w:rsidR="002008E5" w:rsidRPr="009C249D" w:rsidRDefault="00F35866">
      <w:pPr>
        <w:keepNext/>
        <w:spacing w:before="240" w:after="120"/>
        <w:rPr>
          <w:smallCaps/>
          <w:spacing w:val="-5"/>
          <w:sz w:val="16"/>
        </w:rPr>
      </w:pPr>
      <w:r w:rsidRPr="009C249D">
        <w:rPr>
          <w:b/>
          <w:i/>
          <w:sz w:val="18"/>
        </w:rPr>
        <w:t>READING LIST</w:t>
      </w:r>
    </w:p>
    <w:p w14:paraId="15D35C52" w14:textId="77777777" w:rsidR="00FE37D4" w:rsidRPr="009C249D" w:rsidRDefault="00FE37D4" w:rsidP="00FE37D4">
      <w:pPr>
        <w:pStyle w:val="Testo1"/>
      </w:pPr>
      <w:r w:rsidRPr="009C249D">
        <w:t>K. Montalbetti, C. Lisimberti (2015). Ricerca e professionalità educativa. Risorse e strumenti. Lecce: Pensa Multimedia.</w:t>
      </w:r>
    </w:p>
    <w:p w14:paraId="68897E64" w14:textId="68961FA6" w:rsidR="00FE37D4" w:rsidRPr="009C249D" w:rsidRDefault="00FE37D4" w:rsidP="00FE37D4">
      <w:pPr>
        <w:pStyle w:val="Testo1"/>
      </w:pPr>
      <w:r w:rsidRPr="009C249D">
        <w:rPr>
          <w:rFonts w:eastAsiaTheme="minorHAnsi"/>
        </w:rPr>
        <w:t>S. Stanzani (edited by) (2020). Bisogni delle famiglie e servizi educativi per l’infanzia. Una ricerca nel Comune di Mantova. Milano: Franco Angeli*.</w:t>
      </w:r>
    </w:p>
    <w:p w14:paraId="7DC2C2E7" w14:textId="77C11B3F" w:rsidR="00FE37D4" w:rsidRPr="009C249D" w:rsidRDefault="00C83957" w:rsidP="00FE37D4">
      <w:pPr>
        <w:pStyle w:val="Testo1"/>
      </w:pPr>
      <w:r w:rsidRPr="009C249D">
        <w:lastRenderedPageBreak/>
        <w:t>* Upon request, various texts relating to empirical research conducted in other professional fields may be recommended</w:t>
      </w:r>
      <w:r w:rsidR="00FE37D4" w:rsidRPr="009C249D">
        <w:t>.</w:t>
      </w:r>
    </w:p>
    <w:p w14:paraId="5F1D236E" w14:textId="7D21BAE6" w:rsidR="002008E5" w:rsidRPr="009C249D" w:rsidRDefault="00F35866">
      <w:pPr>
        <w:spacing w:before="240" w:after="120" w:line="220" w:lineRule="exact"/>
        <w:rPr>
          <w:lang w:val="en-GB"/>
        </w:rPr>
      </w:pPr>
      <w:r w:rsidRPr="009C249D">
        <w:rPr>
          <w:b/>
          <w:i/>
          <w:sz w:val="18"/>
          <w:lang w:val="en-GB"/>
        </w:rPr>
        <w:t xml:space="preserve">TEACHING METHOD </w:t>
      </w:r>
    </w:p>
    <w:p w14:paraId="2615BB40" w14:textId="1B265D2C" w:rsidR="00FE37D4" w:rsidRPr="009C249D" w:rsidRDefault="00C83957" w:rsidP="00FE37D4">
      <w:pPr>
        <w:pStyle w:val="Testo2"/>
        <w:rPr>
          <w:lang w:val="en-GB"/>
        </w:rPr>
      </w:pPr>
      <w:r w:rsidRPr="009C249D">
        <w:rPr>
          <w:lang w:val="en-GB"/>
        </w:rPr>
        <w:t>The course involves the use of complementary teaching strategies: guided lessons and practical activities; the latter, in particular, will offer students the opportunity to critically reflect on research in the educational field and to mobili</w:t>
      </w:r>
      <w:r w:rsidR="00E24C9C" w:rsidRPr="009C249D">
        <w:rPr>
          <w:lang w:val="en-GB"/>
        </w:rPr>
        <w:t>s</w:t>
      </w:r>
      <w:r w:rsidRPr="009C249D">
        <w:rPr>
          <w:lang w:val="en-GB"/>
        </w:rPr>
        <w:t>e the knowledge and skills acquired through the construction of simple empirical research devices.</w:t>
      </w:r>
    </w:p>
    <w:p w14:paraId="1757CBD9" w14:textId="77777777" w:rsidR="007C57B1" w:rsidRPr="009C249D" w:rsidRDefault="007C57B1" w:rsidP="007C57B1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lang w:val="en-GB"/>
        </w:rPr>
      </w:pPr>
      <w:r w:rsidRPr="009C249D">
        <w:rPr>
          <w:rFonts w:ascii="Times" w:eastAsia="Times New Roman" w:hAnsi="Times"/>
          <w:sz w:val="18"/>
          <w:lang w:val="en-GB"/>
        </w:rPr>
        <w:t>Course materials made available on Blackboard form an integral part of the reading list.</w:t>
      </w:r>
    </w:p>
    <w:p w14:paraId="3ACC433E" w14:textId="77777777" w:rsidR="00880379" w:rsidRPr="009C249D" w:rsidRDefault="00880379" w:rsidP="00880379">
      <w:pPr>
        <w:spacing w:before="240" w:after="120" w:line="220" w:lineRule="exact"/>
        <w:rPr>
          <w:b/>
          <w:i/>
          <w:sz w:val="18"/>
          <w:lang w:val="en-GB"/>
        </w:rPr>
      </w:pPr>
      <w:r w:rsidRPr="009C249D">
        <w:rPr>
          <w:b/>
          <w:i/>
          <w:sz w:val="18"/>
          <w:lang w:val="en-GB"/>
        </w:rPr>
        <w:t>ASSESSMENT METHOD AND CRITERIA</w:t>
      </w:r>
    </w:p>
    <w:p w14:paraId="7EEAE654" w14:textId="2BA96793" w:rsidR="00BD10BF" w:rsidRPr="009C249D" w:rsidRDefault="007C57B1" w:rsidP="00BD10BF">
      <w:pPr>
        <w:tabs>
          <w:tab w:val="left" w:pos="284"/>
        </w:tabs>
        <w:spacing w:line="22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9C249D">
        <w:rPr>
          <w:rFonts w:ascii="Times" w:eastAsia="Times New Roman" w:hAnsi="Times"/>
          <w:sz w:val="18"/>
          <w:lang w:val="en-GB"/>
        </w:rPr>
        <w:t>An oral exam in the form of an interview, aimed at ascertaining student</w:t>
      </w:r>
      <w:r w:rsidR="00A14E51" w:rsidRPr="009C249D">
        <w:rPr>
          <w:rFonts w:ascii="Times" w:eastAsia="Times New Roman" w:hAnsi="Times"/>
          <w:sz w:val="18"/>
          <w:lang w:val="en-GB"/>
        </w:rPr>
        <w:t>s</w:t>
      </w:r>
      <w:r w:rsidRPr="009C249D">
        <w:rPr>
          <w:rFonts w:ascii="Times" w:eastAsia="Times New Roman" w:hAnsi="Times"/>
          <w:sz w:val="18"/>
          <w:lang w:val="en-GB"/>
        </w:rPr>
        <w:t xml:space="preserve">' knowledge, application skills and (initial) methodological competence; students will have to demonstrate critical and argumentative skills in re-reading, re-working and presenting the contents. </w:t>
      </w:r>
      <w:r w:rsidR="000C43B7" w:rsidRPr="009C249D">
        <w:rPr>
          <w:rFonts w:eastAsia="Times New Roman"/>
          <w:noProof/>
          <w:sz w:val="18"/>
          <w:szCs w:val="18"/>
          <w:lang w:val="en-US" w:eastAsia="it-IT"/>
        </w:rPr>
        <w:t xml:space="preserve">To access the oral interview, students must submit </w:t>
      </w:r>
      <w:r w:rsidR="00DA31C1" w:rsidRPr="009C249D">
        <w:rPr>
          <w:rFonts w:eastAsia="Times New Roman"/>
          <w:noProof/>
          <w:sz w:val="18"/>
          <w:szCs w:val="18"/>
          <w:lang w:val="en-US" w:eastAsia="it-IT"/>
        </w:rPr>
        <w:t xml:space="preserve">a paper </w:t>
      </w:r>
      <w:r w:rsidR="000C43B7" w:rsidRPr="009C249D">
        <w:rPr>
          <w:rFonts w:eastAsia="Times New Roman"/>
          <w:noProof/>
          <w:sz w:val="18"/>
          <w:szCs w:val="18"/>
          <w:lang w:val="en-US" w:eastAsia="it-IT"/>
        </w:rPr>
        <w:t>(at least 2 weeks before the exam date) aimed at mobili</w:t>
      </w:r>
      <w:r w:rsidR="001747A8" w:rsidRPr="009C249D">
        <w:rPr>
          <w:rFonts w:eastAsia="Times New Roman"/>
          <w:noProof/>
          <w:sz w:val="18"/>
          <w:szCs w:val="18"/>
          <w:lang w:val="en-US" w:eastAsia="it-IT"/>
        </w:rPr>
        <w:t>s</w:t>
      </w:r>
      <w:r w:rsidR="000C43B7" w:rsidRPr="009C249D">
        <w:rPr>
          <w:rFonts w:eastAsia="Times New Roman"/>
          <w:noProof/>
          <w:sz w:val="18"/>
          <w:szCs w:val="18"/>
          <w:lang w:val="en-US" w:eastAsia="it-IT"/>
        </w:rPr>
        <w:t xml:space="preserve">ing the methodological </w:t>
      </w:r>
      <w:r w:rsidR="000008B0" w:rsidRPr="009C249D">
        <w:rPr>
          <w:rFonts w:eastAsia="Times New Roman"/>
          <w:noProof/>
          <w:sz w:val="18"/>
          <w:szCs w:val="18"/>
          <w:lang w:val="en-US" w:eastAsia="it-IT"/>
        </w:rPr>
        <w:t>competences</w:t>
      </w:r>
      <w:r w:rsidR="001747A8" w:rsidRPr="009C249D">
        <w:rPr>
          <w:rFonts w:eastAsia="Times New Roman"/>
          <w:noProof/>
          <w:sz w:val="18"/>
          <w:szCs w:val="18"/>
          <w:lang w:val="en-US" w:eastAsia="it-IT"/>
        </w:rPr>
        <w:t xml:space="preserve">. The paper will be drawn </w:t>
      </w:r>
      <w:r w:rsidR="000C43B7" w:rsidRPr="009C249D">
        <w:rPr>
          <w:rFonts w:eastAsia="Times New Roman"/>
          <w:noProof/>
          <w:sz w:val="18"/>
          <w:szCs w:val="18"/>
          <w:lang w:val="en-US" w:eastAsia="it-IT"/>
        </w:rPr>
        <w:t>up starting from the format made available on the Blackboard platform</w:t>
      </w:r>
      <w:r w:rsidR="001747A8" w:rsidRPr="009C249D">
        <w:rPr>
          <w:rFonts w:eastAsia="Times New Roman"/>
          <w:noProof/>
          <w:sz w:val="18"/>
          <w:szCs w:val="18"/>
          <w:lang w:val="en-US" w:eastAsia="it-IT"/>
        </w:rPr>
        <w:t xml:space="preserve">, and will have to </w:t>
      </w:r>
      <w:r w:rsidR="000C43B7" w:rsidRPr="009C249D">
        <w:rPr>
          <w:rFonts w:eastAsia="Times New Roman"/>
          <w:noProof/>
          <w:sz w:val="18"/>
          <w:szCs w:val="18"/>
          <w:lang w:val="en-US" w:eastAsia="it-IT"/>
        </w:rPr>
        <w:t xml:space="preserve">obtain a sufficient </w:t>
      </w:r>
      <w:r w:rsidR="001747A8" w:rsidRPr="009C249D">
        <w:rPr>
          <w:rFonts w:eastAsia="Times New Roman"/>
          <w:noProof/>
          <w:sz w:val="18"/>
          <w:szCs w:val="18"/>
          <w:lang w:val="en-US" w:eastAsia="it-IT"/>
        </w:rPr>
        <w:t>assessment</w:t>
      </w:r>
      <w:r w:rsidR="000C43B7" w:rsidRPr="009C249D">
        <w:rPr>
          <w:rFonts w:eastAsia="Times New Roman"/>
          <w:noProof/>
          <w:sz w:val="18"/>
          <w:szCs w:val="18"/>
          <w:lang w:val="en-US" w:eastAsia="it-IT"/>
        </w:rPr>
        <w:t xml:space="preserve"> (higher than or equal to 18/30).  </w:t>
      </w:r>
    </w:p>
    <w:p w14:paraId="3CFA879B" w14:textId="4C00B050" w:rsidR="00F7377B" w:rsidRPr="009C249D" w:rsidRDefault="007C57B1" w:rsidP="00F7377B">
      <w:pPr>
        <w:tabs>
          <w:tab w:val="left" w:pos="284"/>
        </w:tabs>
        <w:spacing w:line="220" w:lineRule="exact"/>
        <w:ind w:firstLine="284"/>
        <w:rPr>
          <w:sz w:val="18"/>
          <w:szCs w:val="20"/>
          <w:lang w:val="en-GB"/>
        </w:rPr>
      </w:pPr>
      <w:r w:rsidRPr="009C249D">
        <w:rPr>
          <w:rFonts w:ascii="Times" w:hAnsi="Times"/>
          <w:sz w:val="18"/>
          <w:lang w:val="en-GB"/>
        </w:rPr>
        <w:t xml:space="preserve">Specifically, the </w:t>
      </w:r>
      <w:r w:rsidR="00BD10BF" w:rsidRPr="009C249D">
        <w:rPr>
          <w:rFonts w:ascii="Times" w:hAnsi="Times"/>
          <w:sz w:val="18"/>
          <w:lang w:val="en-GB"/>
        </w:rPr>
        <w:t xml:space="preserve">oral </w:t>
      </w:r>
      <w:r w:rsidR="00FE37D4" w:rsidRPr="009C249D">
        <w:rPr>
          <w:rFonts w:ascii="Times" w:hAnsi="Times"/>
          <w:sz w:val="18"/>
          <w:lang w:val="en-GB"/>
        </w:rPr>
        <w:t>exam</w:t>
      </w:r>
      <w:r w:rsidRPr="009C249D">
        <w:rPr>
          <w:rFonts w:ascii="Times" w:hAnsi="Times"/>
          <w:sz w:val="18"/>
          <w:lang w:val="en-GB"/>
        </w:rPr>
        <w:t xml:space="preserve"> will focus on verifying the contents of the reading list through a series of general questions and reasoning questions, beginning with </w:t>
      </w:r>
      <w:r w:rsidR="001747A8" w:rsidRPr="009C249D">
        <w:rPr>
          <w:rFonts w:eastAsia="Times New Roman"/>
          <w:noProof/>
          <w:sz w:val="18"/>
          <w:szCs w:val="18"/>
          <w:lang w:val="en-US" w:eastAsia="it-IT"/>
        </w:rPr>
        <w:t>the</w:t>
      </w:r>
      <w:r w:rsidR="00BD10BF" w:rsidRPr="009C249D">
        <w:rPr>
          <w:rFonts w:eastAsia="Times New Roman"/>
          <w:noProof/>
          <w:sz w:val="18"/>
          <w:szCs w:val="18"/>
          <w:lang w:val="en-US" w:eastAsia="it-IT"/>
        </w:rPr>
        <w:t xml:space="preserve"> </w:t>
      </w:r>
      <w:r w:rsidR="003204B7" w:rsidRPr="009C249D">
        <w:rPr>
          <w:rFonts w:eastAsia="Times New Roman"/>
          <w:noProof/>
          <w:sz w:val="18"/>
          <w:szCs w:val="18"/>
          <w:lang w:val="en-US" w:eastAsia="it-IT"/>
        </w:rPr>
        <w:t>papers developed by the students</w:t>
      </w:r>
      <w:r w:rsidR="00F7377B" w:rsidRPr="009C249D">
        <w:rPr>
          <w:rFonts w:ascii="Times" w:hAnsi="Times"/>
          <w:sz w:val="18"/>
          <w:lang w:val="en-GB"/>
        </w:rPr>
        <w:t>.</w:t>
      </w:r>
      <w:r w:rsidR="00AD402C" w:rsidRPr="009C249D">
        <w:rPr>
          <w:rFonts w:eastAsia="Times New Roman"/>
          <w:sz w:val="18"/>
          <w:szCs w:val="20"/>
          <w:lang w:val="en-GB" w:eastAsia="it-IT"/>
        </w:rPr>
        <w:t xml:space="preserve"> </w:t>
      </w:r>
      <w:r w:rsidR="0091011C" w:rsidRPr="009C249D">
        <w:rPr>
          <w:rFonts w:eastAsia="Times New Roman"/>
          <w:sz w:val="18"/>
          <w:szCs w:val="20"/>
          <w:lang w:val="en-GB" w:eastAsia="it-IT"/>
        </w:rPr>
        <w:t>T</w:t>
      </w:r>
      <w:r w:rsidR="00AD402C" w:rsidRPr="009C249D">
        <w:rPr>
          <w:rFonts w:eastAsia="Times New Roman"/>
          <w:sz w:val="18"/>
          <w:szCs w:val="20"/>
          <w:lang w:val="en-GB" w:eastAsia="it-IT"/>
        </w:rPr>
        <w:t>he following criteria will be taken into account</w:t>
      </w:r>
      <w:r w:rsidR="0091011C" w:rsidRPr="009C249D">
        <w:rPr>
          <w:rFonts w:eastAsia="Times New Roman"/>
          <w:sz w:val="18"/>
          <w:szCs w:val="20"/>
          <w:lang w:val="en-GB" w:eastAsia="it-IT"/>
        </w:rPr>
        <w:t xml:space="preserve"> for the assessment</w:t>
      </w:r>
      <w:r w:rsidR="00AD402C" w:rsidRPr="009C249D">
        <w:rPr>
          <w:rFonts w:eastAsia="Times New Roman"/>
          <w:sz w:val="18"/>
          <w:szCs w:val="20"/>
          <w:lang w:val="en-GB" w:eastAsia="it-IT"/>
        </w:rPr>
        <w:t xml:space="preserve">: correctness and quality of the answers provided, </w:t>
      </w:r>
      <w:r w:rsidR="00A4788A" w:rsidRPr="009C249D">
        <w:rPr>
          <w:rFonts w:eastAsia="Times New Roman"/>
          <w:sz w:val="18"/>
          <w:szCs w:val="20"/>
          <w:lang w:val="en-GB" w:eastAsia="it-IT"/>
        </w:rPr>
        <w:t>command</w:t>
      </w:r>
      <w:r w:rsidR="00AD402C" w:rsidRPr="009C249D">
        <w:rPr>
          <w:rFonts w:eastAsia="Times New Roman"/>
          <w:sz w:val="18"/>
          <w:szCs w:val="20"/>
          <w:lang w:val="en-GB" w:eastAsia="it-IT"/>
        </w:rPr>
        <w:t xml:space="preserve"> of </w:t>
      </w:r>
      <w:r w:rsidR="00A4788A" w:rsidRPr="009C249D">
        <w:rPr>
          <w:rFonts w:eastAsia="Times New Roman"/>
          <w:sz w:val="18"/>
          <w:szCs w:val="20"/>
          <w:lang w:val="en-GB" w:eastAsia="it-IT"/>
        </w:rPr>
        <w:t xml:space="preserve">the </w:t>
      </w:r>
      <w:r w:rsidR="00AD402C" w:rsidRPr="009C249D">
        <w:rPr>
          <w:rFonts w:eastAsia="Times New Roman"/>
          <w:sz w:val="18"/>
          <w:szCs w:val="20"/>
          <w:lang w:val="en-GB" w:eastAsia="it-IT"/>
        </w:rPr>
        <w:t>language, clarity of presentation, reasoning skills and analytical rigo</w:t>
      </w:r>
      <w:r w:rsidR="00A4788A" w:rsidRPr="009C249D">
        <w:rPr>
          <w:rFonts w:eastAsia="Times New Roman"/>
          <w:sz w:val="18"/>
          <w:szCs w:val="20"/>
          <w:lang w:val="en-GB" w:eastAsia="it-IT"/>
        </w:rPr>
        <w:t>u</w:t>
      </w:r>
      <w:r w:rsidR="00AD402C" w:rsidRPr="009C249D">
        <w:rPr>
          <w:rFonts w:eastAsia="Times New Roman"/>
          <w:sz w:val="18"/>
          <w:szCs w:val="20"/>
          <w:lang w:val="en-GB" w:eastAsia="it-IT"/>
        </w:rPr>
        <w:t>r, ability to re-elaborate content in a critical way, quality of logical and methodological argumentation</w:t>
      </w:r>
      <w:r w:rsidR="00F7377B" w:rsidRPr="009C249D">
        <w:rPr>
          <w:rFonts w:eastAsia="Times New Roman"/>
          <w:sz w:val="18"/>
          <w:szCs w:val="20"/>
          <w:lang w:val="en-GB" w:eastAsia="it-IT"/>
        </w:rPr>
        <w:t>.</w:t>
      </w:r>
    </w:p>
    <w:p w14:paraId="2E5B8738" w14:textId="199324E1" w:rsidR="00880379" w:rsidRPr="009C249D" w:rsidRDefault="00880379" w:rsidP="00F7377B">
      <w:pPr>
        <w:tabs>
          <w:tab w:val="left" w:pos="284"/>
        </w:tabs>
        <w:spacing w:before="240" w:after="120" w:line="220" w:lineRule="exact"/>
        <w:rPr>
          <w:b/>
          <w:i/>
          <w:sz w:val="18"/>
          <w:lang w:val="en-GB"/>
        </w:rPr>
      </w:pPr>
      <w:r w:rsidRPr="009C249D">
        <w:rPr>
          <w:b/>
          <w:i/>
          <w:sz w:val="18"/>
          <w:lang w:val="en-GB"/>
        </w:rPr>
        <w:t>NOTES AND PREREQUISITES</w:t>
      </w:r>
    </w:p>
    <w:p w14:paraId="0CDA60F8" w14:textId="70C05800" w:rsidR="007C57B1" w:rsidRPr="009C249D" w:rsidRDefault="00A14E51" w:rsidP="007C57B1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lang w:val="en-GB"/>
        </w:rPr>
      </w:pPr>
      <w:r w:rsidRPr="009C249D">
        <w:rPr>
          <w:sz w:val="18"/>
          <w:lang w:val="en-GB"/>
        </w:rPr>
        <w:t>As it is</w:t>
      </w:r>
      <w:r w:rsidRPr="009C249D">
        <w:rPr>
          <w:rFonts w:ascii="Times" w:eastAsia="Times New Roman" w:hAnsi="Times"/>
          <w:sz w:val="18"/>
          <w:lang w:val="en-GB"/>
        </w:rPr>
        <w:t xml:space="preserve"> </w:t>
      </w:r>
      <w:r w:rsidR="007C57B1" w:rsidRPr="009C249D">
        <w:rPr>
          <w:rFonts w:ascii="Times" w:eastAsia="Times New Roman" w:hAnsi="Times"/>
          <w:sz w:val="18"/>
          <w:lang w:val="en-GB"/>
        </w:rPr>
        <w:t>introductory in nature, there are no prerequisites for attending the course.</w:t>
      </w:r>
    </w:p>
    <w:p w14:paraId="30C6B2B5" w14:textId="20DA18DD" w:rsidR="007C57B1" w:rsidRPr="009C249D" w:rsidRDefault="007C57B1" w:rsidP="007C57B1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sz w:val="18"/>
          <w:lang w:val="en-GB"/>
        </w:rPr>
      </w:pPr>
      <w:r w:rsidRPr="009C249D">
        <w:rPr>
          <w:rFonts w:ascii="Times" w:eastAsia="Times New Roman" w:hAnsi="Times"/>
          <w:sz w:val="18"/>
          <w:lang w:val="en-GB"/>
        </w:rPr>
        <w:t>Students are required to regularly consult the lecturer's webpage and the Blackboard IT platform where notices and updates will be communicated from time to time.</w:t>
      </w:r>
    </w:p>
    <w:p w14:paraId="1F7C5010" w14:textId="77777777" w:rsidR="002008E5" w:rsidRPr="00E81D15" w:rsidRDefault="00F35866">
      <w:pPr>
        <w:pStyle w:val="Testo2"/>
        <w:spacing w:before="120"/>
        <w:rPr>
          <w:lang w:val="en-GB"/>
        </w:rPr>
      </w:pPr>
      <w:r w:rsidRPr="009C249D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2008E5" w:rsidRPr="00E81D1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C2F9B"/>
    <w:multiLevelType w:val="hybridMultilevel"/>
    <w:tmpl w:val="54360C26"/>
    <w:lvl w:ilvl="0" w:tplc="5A8E6BE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168"/>
    <w:multiLevelType w:val="hybridMultilevel"/>
    <w:tmpl w:val="04103000"/>
    <w:lvl w:ilvl="0" w:tplc="573895F4">
      <w:start w:val="1"/>
      <w:numFmt w:val="bullet"/>
      <w:lvlText w:val=""/>
      <w:lvlJc w:val="right"/>
      <w:pPr>
        <w:ind w:left="76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338726F"/>
    <w:multiLevelType w:val="hybridMultilevel"/>
    <w:tmpl w:val="403E0A80"/>
    <w:lvl w:ilvl="0" w:tplc="238028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26312">
    <w:abstractNumId w:val="0"/>
  </w:num>
  <w:num w:numId="2" w16cid:durableId="2005626108">
    <w:abstractNumId w:val="1"/>
  </w:num>
  <w:num w:numId="3" w16cid:durableId="129833437">
    <w:abstractNumId w:val="2"/>
  </w:num>
  <w:num w:numId="4" w16cid:durableId="1321037987">
    <w:abstractNumId w:val="3"/>
  </w:num>
  <w:num w:numId="5" w16cid:durableId="1447188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02"/>
    <w:rsid w:val="000008B0"/>
    <w:rsid w:val="000377F3"/>
    <w:rsid w:val="00083805"/>
    <w:rsid w:val="000C43B7"/>
    <w:rsid w:val="000C6988"/>
    <w:rsid w:val="001747A8"/>
    <w:rsid w:val="001D7969"/>
    <w:rsid w:val="001E7F5A"/>
    <w:rsid w:val="002008E5"/>
    <w:rsid w:val="00231E15"/>
    <w:rsid w:val="002443B4"/>
    <w:rsid w:val="00283EBD"/>
    <w:rsid w:val="003157E6"/>
    <w:rsid w:val="003204B7"/>
    <w:rsid w:val="003851CF"/>
    <w:rsid w:val="003864F5"/>
    <w:rsid w:val="003D481B"/>
    <w:rsid w:val="00451A43"/>
    <w:rsid w:val="004872D3"/>
    <w:rsid w:val="004D4DDB"/>
    <w:rsid w:val="004D53D3"/>
    <w:rsid w:val="005F3B45"/>
    <w:rsid w:val="006308DB"/>
    <w:rsid w:val="006822C8"/>
    <w:rsid w:val="006F0002"/>
    <w:rsid w:val="007B5904"/>
    <w:rsid w:val="007C57B1"/>
    <w:rsid w:val="008143FD"/>
    <w:rsid w:val="00814BC5"/>
    <w:rsid w:val="00844F7B"/>
    <w:rsid w:val="00851B9F"/>
    <w:rsid w:val="00870321"/>
    <w:rsid w:val="00880379"/>
    <w:rsid w:val="0091011C"/>
    <w:rsid w:val="009428AF"/>
    <w:rsid w:val="00957C2C"/>
    <w:rsid w:val="009C249D"/>
    <w:rsid w:val="00A14E51"/>
    <w:rsid w:val="00A4788A"/>
    <w:rsid w:val="00AD402C"/>
    <w:rsid w:val="00B23C8E"/>
    <w:rsid w:val="00BB6255"/>
    <w:rsid w:val="00BD10BF"/>
    <w:rsid w:val="00C668D4"/>
    <w:rsid w:val="00C83957"/>
    <w:rsid w:val="00C84E9C"/>
    <w:rsid w:val="00CA4E44"/>
    <w:rsid w:val="00CA5609"/>
    <w:rsid w:val="00CB0994"/>
    <w:rsid w:val="00D411B9"/>
    <w:rsid w:val="00DA31C1"/>
    <w:rsid w:val="00DA6836"/>
    <w:rsid w:val="00DD0A8B"/>
    <w:rsid w:val="00E24C9C"/>
    <w:rsid w:val="00E40E88"/>
    <w:rsid w:val="00E81D15"/>
    <w:rsid w:val="00EE00C7"/>
    <w:rsid w:val="00F14804"/>
    <w:rsid w:val="00F35866"/>
    <w:rsid w:val="00F7377B"/>
    <w:rsid w:val="00F97C68"/>
    <w:rsid w:val="00FB3EFA"/>
    <w:rsid w:val="00FC594E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8338A5"/>
  <w15:docId w15:val="{1676F1FE-0C82-415A-BBB3-7107394B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eastAsia="MS Mincho"/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Paragrafoelenco1">
    <w:name w:val="Paragrafo elenco1"/>
    <w:pPr>
      <w:widowControl w:val="0"/>
      <w:tabs>
        <w:tab w:val="left" w:pos="284"/>
      </w:tabs>
      <w:suppressAutoHyphens/>
      <w:ind w:left="720"/>
    </w:pPr>
    <w:rPr>
      <w:rFonts w:ascii="Times" w:eastAsia="Times" w:hAnsi="Times"/>
      <w:kern w:val="1"/>
      <w:lang w:eastAsia="ar-S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Paragrafoelenco">
    <w:name w:val="List Paragraph"/>
    <w:basedOn w:val="Normale"/>
    <w:uiPriority w:val="34"/>
    <w:qFormat/>
    <w:rsid w:val="00DA683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51A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1A4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1A43"/>
    <w:rPr>
      <w:rFonts w:eastAsia="MS Mincho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1A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1A43"/>
    <w:rPr>
      <w:rFonts w:eastAsia="MS Mincho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A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A43"/>
    <w:rPr>
      <w:rFonts w:ascii="Segoe UI" w:eastAsia="MS Mincho" w:hAnsi="Segoe UI" w:cs="Segoe UI"/>
      <w:kern w:val="1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57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8</cp:revision>
  <cp:lastPrinted>2003-03-27T08:42:00Z</cp:lastPrinted>
  <dcterms:created xsi:type="dcterms:W3CDTF">2022-09-13T15:50:00Z</dcterms:created>
  <dcterms:modified xsi:type="dcterms:W3CDTF">2023-01-16T09:53:00Z</dcterms:modified>
</cp:coreProperties>
</file>