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73A3" w14:textId="3261569E" w:rsidR="00144105" w:rsidRPr="00E2088D" w:rsidRDefault="006C3D2B" w:rsidP="000C04FD">
      <w:pPr>
        <w:pStyle w:val="Titolo1"/>
        <w:ind w:left="0" w:firstLine="0"/>
        <w:rPr>
          <w:noProof w:val="0"/>
          <w:sz w:val="20"/>
          <w:szCs w:val="20"/>
          <w:lang w:val="en-GB"/>
        </w:rPr>
      </w:pPr>
      <w:r w:rsidRPr="00E2088D">
        <w:rPr>
          <w:noProof w:val="0"/>
          <w:sz w:val="20"/>
          <w:szCs w:val="20"/>
          <w:lang w:val="en-GB"/>
        </w:rPr>
        <w:t xml:space="preserve">Financial </w:t>
      </w:r>
      <w:r w:rsidR="00A769B8" w:rsidRPr="00E2088D">
        <w:rPr>
          <w:noProof w:val="0"/>
          <w:sz w:val="20"/>
          <w:szCs w:val="20"/>
          <w:lang w:val="en-GB"/>
        </w:rPr>
        <w:t xml:space="preserve">Reporting </w:t>
      </w:r>
      <w:r w:rsidRPr="00E2088D">
        <w:rPr>
          <w:noProof w:val="0"/>
          <w:sz w:val="20"/>
          <w:szCs w:val="20"/>
          <w:lang w:val="en-GB"/>
        </w:rPr>
        <w:t xml:space="preserve">and </w:t>
      </w:r>
      <w:r w:rsidR="002F57AA" w:rsidRPr="00E2088D">
        <w:rPr>
          <w:noProof w:val="0"/>
          <w:sz w:val="20"/>
          <w:szCs w:val="20"/>
          <w:lang w:val="en-GB"/>
        </w:rPr>
        <w:t xml:space="preserve">International Accounting </w:t>
      </w:r>
      <w:r w:rsidR="00A769B8" w:rsidRPr="00E2088D">
        <w:rPr>
          <w:noProof w:val="0"/>
          <w:sz w:val="20"/>
          <w:szCs w:val="20"/>
          <w:lang w:val="en-GB"/>
        </w:rPr>
        <w:t>Standards</w:t>
      </w:r>
      <w:r w:rsidR="000D48D1">
        <w:rPr>
          <w:noProof w:val="0"/>
          <w:sz w:val="20"/>
          <w:szCs w:val="20"/>
          <w:lang w:val="en-GB"/>
        </w:rPr>
        <w:t xml:space="preserve"> </w:t>
      </w:r>
      <w:r w:rsidR="000D48D1" w:rsidRPr="000D48D1">
        <w:rPr>
          <w:noProof w:val="0"/>
          <w:sz w:val="20"/>
          <w:szCs w:val="20"/>
          <w:lang w:val="en-GB"/>
        </w:rPr>
        <w:t>(for the specialisation in “Finance” and “Finance – Corporate advisory”)</w:t>
      </w:r>
    </w:p>
    <w:p w14:paraId="2330A559" w14:textId="099690D4" w:rsidR="00032DDB" w:rsidRPr="00E2088D" w:rsidRDefault="00AE7801" w:rsidP="00032DDB">
      <w:pPr>
        <w:pStyle w:val="Titolo2"/>
        <w:ind w:firstLine="0"/>
        <w:rPr>
          <w:noProof w:val="0"/>
          <w:lang w:val="en-GB"/>
        </w:rPr>
      </w:pPr>
      <w:r w:rsidRPr="00E74C81">
        <w:rPr>
          <w:noProof w:val="0"/>
          <w:lang w:val="en-US"/>
        </w:rPr>
        <w:t xml:space="preserve">Prof. Andrea Lionzo; Prof. </w:t>
      </w:r>
      <w:r w:rsidR="00E74C81" w:rsidRPr="00E74C81">
        <w:rPr>
          <w:noProof w:val="0"/>
          <w:lang w:val="en-US"/>
        </w:rPr>
        <w:t>D</w:t>
      </w:r>
      <w:r w:rsidR="00E74C81">
        <w:rPr>
          <w:noProof w:val="0"/>
          <w:lang w:val="en-US"/>
        </w:rPr>
        <w:t>aniele Beretta</w:t>
      </w:r>
      <w:bookmarkStart w:id="0" w:name="_GoBack"/>
      <w:bookmarkEnd w:id="0"/>
      <w:r w:rsidRPr="00E2088D">
        <w:rPr>
          <w:noProof w:val="0"/>
          <w:lang w:val="en-GB"/>
        </w:rPr>
        <w:t xml:space="preserve"> </w:t>
      </w:r>
    </w:p>
    <w:p w14:paraId="5F138BAA" w14:textId="3FE5FF1E" w:rsidR="00244518" w:rsidRPr="00E2088D" w:rsidRDefault="00244518" w:rsidP="00244518">
      <w:pPr>
        <w:spacing w:before="240" w:after="120"/>
        <w:ind w:firstLine="0"/>
        <w:rPr>
          <w:b/>
          <w:i/>
          <w:sz w:val="18"/>
          <w:lang w:val="en-GB"/>
        </w:rPr>
      </w:pPr>
      <w:r w:rsidRPr="00E2088D">
        <w:rPr>
          <w:b/>
          <w:i/>
          <w:sz w:val="18"/>
          <w:lang w:val="en-GB"/>
        </w:rPr>
        <w:t xml:space="preserve">COURSE AIMS AND INTENDED LEARNING OUTCOMES </w:t>
      </w:r>
    </w:p>
    <w:p w14:paraId="0F7C2E76" w14:textId="6FC4E2C8" w:rsidR="00032DDB" w:rsidRPr="00E2088D" w:rsidRDefault="00032DDB" w:rsidP="00032DDB">
      <w:pPr>
        <w:spacing w:line="240" w:lineRule="exact"/>
        <w:ind w:firstLine="0"/>
        <w:rPr>
          <w:rFonts w:eastAsia="Calibri"/>
          <w:sz w:val="20"/>
          <w:lang w:val="en-GB" w:eastAsia="en-US"/>
        </w:rPr>
      </w:pPr>
      <w:r w:rsidRPr="00E2088D">
        <w:rPr>
          <w:rFonts w:eastAsia="Calibri"/>
          <w:sz w:val="20"/>
          <w:lang w:val="en-GB" w:eastAsia="en-US"/>
        </w:rPr>
        <w:t>The course aims to complete the educational path in the field of accounting information by analy</w:t>
      </w:r>
      <w:r w:rsidR="00A0605A" w:rsidRPr="00E2088D">
        <w:rPr>
          <w:rFonts w:eastAsia="Calibri"/>
          <w:sz w:val="20"/>
          <w:lang w:val="en-GB" w:eastAsia="en-US"/>
        </w:rPr>
        <w:t>s</w:t>
      </w:r>
      <w:r w:rsidRPr="00E2088D">
        <w:rPr>
          <w:rFonts w:eastAsia="Calibri"/>
          <w:sz w:val="20"/>
          <w:lang w:val="en-GB" w:eastAsia="en-US"/>
        </w:rPr>
        <w:t>ing the most relevant information profiles that characteri</w:t>
      </w:r>
      <w:r w:rsidR="00A0605A" w:rsidRPr="00E2088D">
        <w:rPr>
          <w:rFonts w:eastAsia="Calibri"/>
          <w:sz w:val="20"/>
          <w:lang w:val="en-GB" w:eastAsia="en-US"/>
        </w:rPr>
        <w:t>s</w:t>
      </w:r>
      <w:r w:rsidRPr="00E2088D">
        <w:rPr>
          <w:rFonts w:eastAsia="Calibri"/>
          <w:sz w:val="20"/>
          <w:lang w:val="en-GB" w:eastAsia="en-US"/>
        </w:rPr>
        <w:t>e the discipline of financial statements according to the IAS/IFRS international accounting standards.</w:t>
      </w:r>
    </w:p>
    <w:p w14:paraId="1A31A649" w14:textId="34116F1B" w:rsidR="00AE7801" w:rsidRPr="00E2088D" w:rsidRDefault="00032DDB" w:rsidP="00AE7801">
      <w:pPr>
        <w:spacing w:line="240" w:lineRule="exact"/>
        <w:ind w:firstLine="0"/>
        <w:rPr>
          <w:rFonts w:eastAsia="Calibri"/>
          <w:sz w:val="20"/>
          <w:lang w:val="en-GB" w:eastAsia="en-US"/>
        </w:rPr>
      </w:pPr>
      <w:r w:rsidRPr="00E2088D">
        <w:rPr>
          <w:rFonts w:eastAsia="Calibri"/>
          <w:sz w:val="20"/>
          <w:lang w:val="en-GB" w:eastAsia="en-US"/>
        </w:rPr>
        <w:t xml:space="preserve">The </w:t>
      </w:r>
      <w:r w:rsidR="009B011B" w:rsidRPr="00E2088D">
        <w:rPr>
          <w:rFonts w:eastAsia="Calibri"/>
          <w:sz w:val="20"/>
          <w:lang w:val="en-GB" w:eastAsia="en-US"/>
        </w:rPr>
        <w:t xml:space="preserve">first part of the </w:t>
      </w:r>
      <w:r w:rsidR="006C5F08" w:rsidRPr="00E2088D">
        <w:rPr>
          <w:rFonts w:eastAsia="Calibri"/>
          <w:sz w:val="20"/>
          <w:lang w:val="en-GB" w:eastAsia="en-US"/>
        </w:rPr>
        <w:t xml:space="preserve">course </w:t>
      </w:r>
      <w:r w:rsidRPr="00E2088D">
        <w:rPr>
          <w:rFonts w:eastAsia="Calibri"/>
          <w:sz w:val="20"/>
          <w:lang w:val="en-GB" w:eastAsia="en-US"/>
        </w:rPr>
        <w:t>provides a summary of the foundations of the IAS/IFRS financial statements. Subsequently, the course examines the main technical-evaluation aspects relating to the preparation of the IAS/IFRS consolidated financial statements: the definition of the consolidation area, the consolidation methodologies and procedures, the accounting representation of equity investments.</w:t>
      </w:r>
    </w:p>
    <w:p w14:paraId="7F2DDF59" w14:textId="77777777" w:rsidR="00032DDB" w:rsidRPr="00E2088D" w:rsidRDefault="00032DDB" w:rsidP="00032DDB">
      <w:pPr>
        <w:spacing w:line="240" w:lineRule="exact"/>
        <w:ind w:firstLine="0"/>
        <w:rPr>
          <w:rFonts w:eastAsia="Calibri"/>
          <w:sz w:val="20"/>
          <w:lang w:val="en-GB" w:eastAsia="en-US"/>
        </w:rPr>
      </w:pPr>
      <w:r w:rsidRPr="00E2088D">
        <w:rPr>
          <w:rFonts w:eastAsia="Calibri"/>
          <w:sz w:val="20"/>
          <w:lang w:val="en-GB" w:eastAsia="en-US"/>
        </w:rPr>
        <w:t xml:space="preserve">Then, the course examines some advanced themes of financial reporting (the choices underlying the representation of M&amp;A transactions, the logic of the </w:t>
      </w:r>
      <w:r w:rsidRPr="00E2088D">
        <w:rPr>
          <w:rFonts w:eastAsia="Calibri"/>
          <w:i/>
          <w:iCs/>
          <w:sz w:val="20"/>
          <w:lang w:val="en-GB" w:eastAsia="en-US"/>
        </w:rPr>
        <w:t>impairment test</w:t>
      </w:r>
      <w:r w:rsidRPr="00E2088D">
        <w:rPr>
          <w:rFonts w:eastAsia="Calibri"/>
          <w:sz w:val="20"/>
          <w:lang w:val="en-GB" w:eastAsia="en-US"/>
        </w:rPr>
        <w:t xml:space="preserve"> of goodwill in the group financial statements, the accounting of financial instruments), particularly relevant in terms of companies issuing securities listed on regulated markets.</w:t>
      </w:r>
    </w:p>
    <w:p w14:paraId="6032F660" w14:textId="68887AC4" w:rsidR="00AE7801" w:rsidRPr="00E2088D" w:rsidRDefault="00032DDB" w:rsidP="00AE7801">
      <w:pPr>
        <w:spacing w:line="240" w:lineRule="exact"/>
        <w:ind w:firstLine="0"/>
        <w:rPr>
          <w:rFonts w:eastAsia="Calibri"/>
          <w:sz w:val="20"/>
          <w:lang w:val="en-GB" w:eastAsia="en-US"/>
        </w:rPr>
      </w:pPr>
      <w:r w:rsidRPr="00E2088D">
        <w:rPr>
          <w:rFonts w:eastAsia="Calibri"/>
          <w:sz w:val="20"/>
          <w:lang w:val="en-GB" w:eastAsia="en-US"/>
        </w:rPr>
        <w:t>Finally, the course focuses</w:t>
      </w:r>
      <w:r w:rsidR="004C789E" w:rsidRPr="00E2088D">
        <w:rPr>
          <w:rFonts w:eastAsia="Calibri"/>
          <w:sz w:val="20"/>
          <w:lang w:val="en-GB" w:eastAsia="en-US"/>
        </w:rPr>
        <w:t>,</w:t>
      </w:r>
      <w:r w:rsidRPr="00E2088D">
        <w:rPr>
          <w:rFonts w:eastAsia="Calibri"/>
          <w:sz w:val="20"/>
          <w:lang w:val="en-GB" w:eastAsia="en-US"/>
        </w:rPr>
        <w:t xml:space="preserve"> also through some business cases, on the process of reading and interpreting consolidated financial statements as an instrumental means to qualify the health conditions of the group and its business segments</w:t>
      </w:r>
      <w:r w:rsidR="00AE7801" w:rsidRPr="00E2088D">
        <w:rPr>
          <w:rFonts w:eastAsia="Calibri"/>
          <w:sz w:val="20"/>
          <w:lang w:val="en-GB" w:eastAsia="en-US"/>
        </w:rPr>
        <w:t>.</w:t>
      </w:r>
    </w:p>
    <w:p w14:paraId="1E22BCCF" w14:textId="77777777" w:rsidR="00AE7801" w:rsidRPr="00E2088D" w:rsidRDefault="00AE7801" w:rsidP="00AE7801">
      <w:pPr>
        <w:ind w:left="284"/>
        <w:rPr>
          <w:sz w:val="20"/>
          <w:lang w:val="en-GB"/>
        </w:rPr>
      </w:pPr>
    </w:p>
    <w:p w14:paraId="5AB247AC" w14:textId="79A5E91E" w:rsidR="00AE7801" w:rsidRPr="00E2088D" w:rsidRDefault="00AE7801" w:rsidP="00AE7801">
      <w:pPr>
        <w:ind w:left="284"/>
        <w:rPr>
          <w:sz w:val="20"/>
          <w:lang w:val="en-GB"/>
        </w:rPr>
      </w:pPr>
      <w:r w:rsidRPr="00E2088D">
        <w:rPr>
          <w:sz w:val="20"/>
          <w:lang w:val="en-GB"/>
        </w:rPr>
        <w:t>A</w:t>
      </w:r>
      <w:r w:rsidR="00032DDB" w:rsidRPr="00E2088D">
        <w:rPr>
          <w:sz w:val="20"/>
          <w:lang w:val="en-GB"/>
        </w:rPr>
        <w:t>t the end of the course</w:t>
      </w:r>
      <w:r w:rsidRPr="00E2088D">
        <w:rPr>
          <w:sz w:val="20"/>
          <w:lang w:val="en-GB"/>
        </w:rPr>
        <w:t>, student</w:t>
      </w:r>
      <w:r w:rsidR="00032DDB" w:rsidRPr="00E2088D">
        <w:rPr>
          <w:sz w:val="20"/>
          <w:lang w:val="en-GB"/>
        </w:rPr>
        <w:t>s are expected to kno</w:t>
      </w:r>
      <w:r w:rsidR="004C789E" w:rsidRPr="00E2088D">
        <w:rPr>
          <w:sz w:val="20"/>
          <w:lang w:val="en-GB"/>
        </w:rPr>
        <w:t>w</w:t>
      </w:r>
      <w:r w:rsidR="00032DDB" w:rsidRPr="00E2088D">
        <w:rPr>
          <w:sz w:val="20"/>
          <w:lang w:val="en-GB"/>
        </w:rPr>
        <w:t xml:space="preserve">: </w:t>
      </w:r>
    </w:p>
    <w:p w14:paraId="04747704" w14:textId="56DAACE9" w:rsidR="00AE7801" w:rsidRPr="00E2088D" w:rsidRDefault="00AE7801" w:rsidP="00AE7801">
      <w:pPr>
        <w:spacing w:line="240" w:lineRule="exact"/>
        <w:ind w:left="284"/>
        <w:rPr>
          <w:sz w:val="20"/>
          <w:lang w:val="en-GB"/>
        </w:rPr>
      </w:pPr>
      <w:r w:rsidRPr="00E2088D">
        <w:rPr>
          <w:sz w:val="20"/>
          <w:lang w:val="en-GB"/>
        </w:rPr>
        <w:t>–</w:t>
      </w:r>
      <w:r w:rsidRPr="00E2088D">
        <w:rPr>
          <w:sz w:val="20"/>
          <w:lang w:val="en-GB"/>
        </w:rPr>
        <w:tab/>
      </w:r>
      <w:r w:rsidR="00032DDB" w:rsidRPr="00E2088D">
        <w:rPr>
          <w:sz w:val="20"/>
          <w:lang w:val="en-GB"/>
        </w:rPr>
        <w:t>the construction of group consolidated financial statements according to international accounting standards</w:t>
      </w:r>
      <w:r w:rsidRPr="00E2088D">
        <w:rPr>
          <w:sz w:val="20"/>
          <w:lang w:val="en-GB"/>
        </w:rPr>
        <w:t>;</w:t>
      </w:r>
    </w:p>
    <w:p w14:paraId="2D4E9EFD" w14:textId="569D0F35" w:rsidR="00AE7801" w:rsidRPr="00E2088D" w:rsidRDefault="00AE7801" w:rsidP="00AE7801">
      <w:pPr>
        <w:spacing w:line="240" w:lineRule="exact"/>
        <w:ind w:left="284"/>
        <w:rPr>
          <w:sz w:val="20"/>
          <w:lang w:val="en-GB"/>
        </w:rPr>
      </w:pPr>
      <w:r w:rsidRPr="00E2088D">
        <w:rPr>
          <w:sz w:val="20"/>
          <w:lang w:val="en-GB"/>
        </w:rPr>
        <w:t>–</w:t>
      </w:r>
      <w:r w:rsidRPr="00E2088D">
        <w:rPr>
          <w:sz w:val="20"/>
          <w:lang w:val="en-GB"/>
        </w:rPr>
        <w:tab/>
      </w:r>
      <w:r w:rsidR="00032DDB" w:rsidRPr="00E2088D">
        <w:rPr>
          <w:sz w:val="20"/>
          <w:lang w:val="en-GB"/>
        </w:rPr>
        <w:t>the recognition of M&amp;A transactions in the consolidated financial statements according to IFRS 3</w:t>
      </w:r>
      <w:r w:rsidRPr="00E2088D">
        <w:rPr>
          <w:sz w:val="20"/>
          <w:lang w:val="en-GB"/>
        </w:rPr>
        <w:t>;</w:t>
      </w:r>
    </w:p>
    <w:p w14:paraId="3C360BDB" w14:textId="1E283C37" w:rsidR="00AE7801" w:rsidRPr="00E2088D" w:rsidRDefault="00AE7801" w:rsidP="00AE7801">
      <w:pPr>
        <w:spacing w:line="240" w:lineRule="exact"/>
        <w:ind w:left="284"/>
        <w:rPr>
          <w:sz w:val="20"/>
          <w:lang w:val="en-GB"/>
        </w:rPr>
      </w:pPr>
      <w:r w:rsidRPr="00E2088D">
        <w:rPr>
          <w:sz w:val="20"/>
          <w:lang w:val="en-GB"/>
        </w:rPr>
        <w:t>–</w:t>
      </w:r>
      <w:r w:rsidRPr="00E2088D">
        <w:rPr>
          <w:sz w:val="20"/>
          <w:lang w:val="en-GB"/>
        </w:rPr>
        <w:tab/>
      </w:r>
      <w:r w:rsidR="00032DDB" w:rsidRPr="00E2088D">
        <w:rPr>
          <w:sz w:val="20"/>
          <w:lang w:val="en-GB"/>
        </w:rPr>
        <w:t xml:space="preserve">the development of the </w:t>
      </w:r>
      <w:r w:rsidR="00032DDB" w:rsidRPr="00E2088D">
        <w:rPr>
          <w:i/>
          <w:iCs/>
          <w:sz w:val="20"/>
          <w:lang w:val="en-GB"/>
        </w:rPr>
        <w:t>goodwill impairment test</w:t>
      </w:r>
      <w:r w:rsidR="00032DDB" w:rsidRPr="00E2088D">
        <w:rPr>
          <w:sz w:val="20"/>
          <w:lang w:val="en-GB"/>
        </w:rPr>
        <w:t xml:space="preserve"> for the purposes of consolidated financial statements pursuant to IAS 36</w:t>
      </w:r>
      <w:r w:rsidRPr="00E2088D">
        <w:rPr>
          <w:sz w:val="20"/>
          <w:lang w:val="en-GB"/>
        </w:rPr>
        <w:t>;</w:t>
      </w:r>
    </w:p>
    <w:p w14:paraId="0071A708" w14:textId="089ACE18" w:rsidR="00AE7801" w:rsidRPr="00E2088D" w:rsidRDefault="00AE7801" w:rsidP="00AE7801">
      <w:pPr>
        <w:spacing w:line="240" w:lineRule="exact"/>
        <w:ind w:left="284"/>
        <w:rPr>
          <w:sz w:val="20"/>
          <w:lang w:val="en-GB"/>
        </w:rPr>
      </w:pPr>
      <w:r w:rsidRPr="00E2088D">
        <w:rPr>
          <w:sz w:val="20"/>
          <w:lang w:val="en-GB"/>
        </w:rPr>
        <w:t>–</w:t>
      </w:r>
      <w:r w:rsidRPr="00E2088D">
        <w:rPr>
          <w:sz w:val="20"/>
          <w:lang w:val="en-GB"/>
        </w:rPr>
        <w:tab/>
      </w:r>
      <w:r w:rsidR="00032DDB" w:rsidRPr="00E2088D">
        <w:rPr>
          <w:sz w:val="20"/>
          <w:lang w:val="en-GB"/>
        </w:rPr>
        <w:t xml:space="preserve">the classification and evaluation of financial instruments in consolidated financial statements </w:t>
      </w:r>
      <w:r w:rsidR="00A4223B" w:rsidRPr="00E2088D">
        <w:rPr>
          <w:sz w:val="20"/>
          <w:lang w:val="en-GB"/>
        </w:rPr>
        <w:t>by applying the</w:t>
      </w:r>
      <w:r w:rsidR="00032DDB" w:rsidRPr="00E2088D">
        <w:rPr>
          <w:sz w:val="20"/>
          <w:lang w:val="en-GB"/>
        </w:rPr>
        <w:t xml:space="preserve"> IFRS 9</w:t>
      </w:r>
      <w:r w:rsidRPr="00E2088D">
        <w:rPr>
          <w:sz w:val="20"/>
          <w:lang w:val="en-GB"/>
        </w:rPr>
        <w:t>;</w:t>
      </w:r>
    </w:p>
    <w:p w14:paraId="2321828C" w14:textId="35E12677" w:rsidR="00AE7801" w:rsidRPr="00E2088D" w:rsidRDefault="00AE7801" w:rsidP="00AE7801">
      <w:pPr>
        <w:spacing w:line="240" w:lineRule="exact"/>
        <w:ind w:left="284"/>
        <w:rPr>
          <w:sz w:val="20"/>
          <w:lang w:val="en-GB"/>
        </w:rPr>
      </w:pPr>
      <w:r w:rsidRPr="00E2088D">
        <w:rPr>
          <w:sz w:val="20"/>
          <w:lang w:val="en-GB"/>
        </w:rPr>
        <w:t>–</w:t>
      </w:r>
      <w:r w:rsidRPr="00E2088D">
        <w:rPr>
          <w:sz w:val="20"/>
          <w:lang w:val="en-GB"/>
        </w:rPr>
        <w:tab/>
      </w:r>
      <w:r w:rsidR="00032DDB" w:rsidRPr="00E2088D">
        <w:rPr>
          <w:sz w:val="20"/>
          <w:lang w:val="en-GB"/>
        </w:rPr>
        <w:t>the reading and interpretation of consolidated financial statements</w:t>
      </w:r>
      <w:r w:rsidRPr="00E2088D">
        <w:rPr>
          <w:sz w:val="20"/>
          <w:lang w:val="en-GB"/>
        </w:rPr>
        <w:t>.</w:t>
      </w:r>
    </w:p>
    <w:p w14:paraId="13D14F56" w14:textId="77777777" w:rsidR="00144105" w:rsidRPr="00E2088D" w:rsidRDefault="006C3D2B" w:rsidP="00EA6D3E">
      <w:pPr>
        <w:spacing w:before="240" w:after="120"/>
        <w:ind w:firstLine="0"/>
        <w:rPr>
          <w:b/>
          <w:sz w:val="18"/>
          <w:lang w:val="en-GB"/>
        </w:rPr>
      </w:pPr>
      <w:r w:rsidRPr="00E2088D">
        <w:rPr>
          <w:b/>
          <w:i/>
          <w:sz w:val="18"/>
          <w:lang w:val="en-GB"/>
        </w:rPr>
        <w:t>COURSE CONTENT</w:t>
      </w:r>
    </w:p>
    <w:p w14:paraId="49668B3A" w14:textId="7DEF5F3E" w:rsidR="008530B3" w:rsidRPr="00E2088D" w:rsidRDefault="00EA6D3E" w:rsidP="008530B3">
      <w:pPr>
        <w:spacing w:line="240" w:lineRule="exact"/>
        <w:ind w:left="284"/>
        <w:rPr>
          <w:rFonts w:eastAsia="Calibri"/>
          <w:i/>
          <w:sz w:val="20"/>
          <w:szCs w:val="22"/>
          <w:lang w:val="en-GB" w:eastAsia="en-US"/>
        </w:rPr>
      </w:pPr>
      <w:r w:rsidRPr="00E2088D">
        <w:rPr>
          <w:rFonts w:eastAsia="Calibri"/>
          <w:sz w:val="20"/>
          <w:szCs w:val="22"/>
          <w:lang w:val="en-GB" w:eastAsia="en-US"/>
        </w:rPr>
        <w:t>1.</w:t>
      </w:r>
      <w:r w:rsidRPr="00E2088D">
        <w:rPr>
          <w:rFonts w:eastAsia="Calibri"/>
          <w:sz w:val="20"/>
          <w:szCs w:val="22"/>
          <w:lang w:val="en-GB" w:eastAsia="en-US"/>
        </w:rPr>
        <w:tab/>
      </w:r>
      <w:r w:rsidR="00C40F42" w:rsidRPr="00E2088D">
        <w:rPr>
          <w:rFonts w:eastAsia="Calibri"/>
          <w:i/>
          <w:sz w:val="20"/>
          <w:szCs w:val="22"/>
          <w:lang w:val="en-GB" w:eastAsia="en-US"/>
        </w:rPr>
        <w:t xml:space="preserve">The </w:t>
      </w:r>
      <w:r w:rsidRPr="00E2088D">
        <w:rPr>
          <w:rFonts w:eastAsia="Calibri"/>
          <w:i/>
          <w:sz w:val="20"/>
          <w:szCs w:val="22"/>
          <w:lang w:val="en-GB" w:eastAsia="en-US"/>
        </w:rPr>
        <w:t>IAS/IFRS</w:t>
      </w:r>
      <w:r w:rsidR="00C40F42" w:rsidRPr="00E2088D">
        <w:rPr>
          <w:rFonts w:eastAsia="Calibri"/>
          <w:i/>
          <w:sz w:val="20"/>
          <w:szCs w:val="22"/>
          <w:lang w:val="en-GB" w:eastAsia="en-US"/>
        </w:rPr>
        <w:t xml:space="preserve"> financial statements</w:t>
      </w:r>
      <w:r w:rsidRPr="00E2088D">
        <w:rPr>
          <w:rFonts w:eastAsia="Calibri"/>
          <w:i/>
          <w:sz w:val="20"/>
          <w:szCs w:val="22"/>
          <w:lang w:val="en-GB" w:eastAsia="en-US"/>
        </w:rPr>
        <w:t>:</w:t>
      </w:r>
      <w:r w:rsidR="000E342F" w:rsidRPr="00E2088D">
        <w:rPr>
          <w:rFonts w:eastAsia="Calibri"/>
          <w:i/>
          <w:szCs w:val="22"/>
          <w:lang w:val="en-GB" w:eastAsia="en-US"/>
        </w:rPr>
        <w:t xml:space="preserve"> </w:t>
      </w:r>
      <w:r w:rsidR="001D2C4F" w:rsidRPr="00E2088D">
        <w:rPr>
          <w:rFonts w:eastAsia="Calibri"/>
          <w:i/>
          <w:sz w:val="20"/>
          <w:szCs w:val="22"/>
          <w:lang w:val="en-GB" w:eastAsia="en-US"/>
        </w:rPr>
        <w:t>basics</w:t>
      </w:r>
    </w:p>
    <w:p w14:paraId="1A322A29" w14:textId="1D0E75F6" w:rsidR="000E342F" w:rsidRPr="00E2088D" w:rsidRDefault="008530B3" w:rsidP="008530B3">
      <w:pPr>
        <w:spacing w:line="240" w:lineRule="exact"/>
        <w:ind w:left="284"/>
        <w:rPr>
          <w:rFonts w:eastAsia="Calibri"/>
          <w:sz w:val="20"/>
          <w:szCs w:val="22"/>
          <w:lang w:val="en-GB" w:eastAsia="en-US"/>
        </w:rPr>
      </w:pPr>
      <w:r w:rsidRPr="00E2088D">
        <w:rPr>
          <w:rFonts w:eastAsia="Calibri"/>
          <w:i/>
          <w:sz w:val="20"/>
          <w:szCs w:val="22"/>
          <w:lang w:val="en-GB" w:eastAsia="en-US"/>
        </w:rPr>
        <w:t>–</w:t>
      </w:r>
      <w:r w:rsidRPr="00E2088D">
        <w:rPr>
          <w:rFonts w:eastAsia="Calibri"/>
          <w:i/>
          <w:sz w:val="20"/>
          <w:szCs w:val="22"/>
          <w:lang w:val="en-GB" w:eastAsia="en-US"/>
        </w:rPr>
        <w:tab/>
      </w:r>
      <w:r w:rsidRPr="00E2088D">
        <w:rPr>
          <w:rFonts w:eastAsia="Calibri"/>
          <w:sz w:val="20"/>
          <w:szCs w:val="22"/>
          <w:lang w:val="en-GB" w:eastAsia="en-US"/>
        </w:rPr>
        <w:t>Guiding principles</w:t>
      </w:r>
      <w:r w:rsidR="001261DC" w:rsidRPr="00E2088D">
        <w:rPr>
          <w:rFonts w:eastAsia="Calibri"/>
          <w:sz w:val="20"/>
          <w:szCs w:val="22"/>
          <w:lang w:val="en-GB" w:eastAsia="en-US"/>
        </w:rPr>
        <w:t>.</w:t>
      </w:r>
    </w:p>
    <w:p w14:paraId="709CE114" w14:textId="6D65B57C" w:rsidR="00EA6D3E" w:rsidRPr="00E2088D" w:rsidRDefault="000E342F" w:rsidP="000E342F">
      <w:pPr>
        <w:spacing w:line="240" w:lineRule="exact"/>
        <w:ind w:left="284"/>
        <w:rPr>
          <w:rFonts w:eastAsia="Calibri"/>
          <w:sz w:val="20"/>
          <w:szCs w:val="22"/>
          <w:lang w:val="en-GB" w:eastAsia="en-US"/>
        </w:rPr>
      </w:pPr>
      <w:r w:rsidRPr="00E2088D">
        <w:rPr>
          <w:rFonts w:eastAsia="Calibri"/>
          <w:sz w:val="20"/>
          <w:szCs w:val="22"/>
          <w:lang w:val="en-GB" w:eastAsia="en-US"/>
        </w:rPr>
        <w:t xml:space="preserve"> </w:t>
      </w:r>
      <w:r w:rsidR="00EA6D3E" w:rsidRPr="00E2088D">
        <w:rPr>
          <w:rFonts w:eastAsia="Calibri"/>
          <w:sz w:val="20"/>
          <w:szCs w:val="22"/>
          <w:lang w:val="en-GB" w:eastAsia="en-US"/>
        </w:rPr>
        <w:t>–</w:t>
      </w:r>
      <w:r w:rsidR="00EA6D3E" w:rsidRPr="00E2088D">
        <w:rPr>
          <w:rFonts w:eastAsia="Calibri"/>
          <w:sz w:val="20"/>
          <w:szCs w:val="22"/>
          <w:lang w:val="en-GB" w:eastAsia="en-US"/>
        </w:rPr>
        <w:tab/>
      </w:r>
      <w:r w:rsidR="00CF65E5" w:rsidRPr="00E2088D">
        <w:rPr>
          <w:rFonts w:eastAsia="Calibri"/>
          <w:sz w:val="20"/>
          <w:szCs w:val="22"/>
          <w:lang w:val="en-GB" w:eastAsia="en-US"/>
        </w:rPr>
        <w:t xml:space="preserve">The </w:t>
      </w:r>
      <w:r w:rsidR="00A769B8" w:rsidRPr="00E2088D">
        <w:rPr>
          <w:rFonts w:eastAsia="Calibri"/>
          <w:sz w:val="20"/>
          <w:szCs w:val="22"/>
          <w:lang w:val="en-GB" w:eastAsia="en-US"/>
        </w:rPr>
        <w:t xml:space="preserve">IAS/IFRS </w:t>
      </w:r>
      <w:r w:rsidR="00CF65E5" w:rsidRPr="00E2088D">
        <w:rPr>
          <w:rFonts w:eastAsia="Calibri"/>
          <w:sz w:val="20"/>
          <w:szCs w:val="22"/>
          <w:lang w:val="en-GB" w:eastAsia="en-US"/>
        </w:rPr>
        <w:t>valuation logic and the rel</w:t>
      </w:r>
      <w:r w:rsidR="00761760" w:rsidRPr="00E2088D">
        <w:rPr>
          <w:rFonts w:eastAsia="Calibri"/>
          <w:sz w:val="20"/>
          <w:szCs w:val="22"/>
          <w:lang w:val="en-GB" w:eastAsia="en-US"/>
        </w:rPr>
        <w:t xml:space="preserve">ationship between cost and fair </w:t>
      </w:r>
      <w:r w:rsidR="00CF65E5" w:rsidRPr="00E2088D">
        <w:rPr>
          <w:rFonts w:eastAsia="Calibri"/>
          <w:sz w:val="20"/>
          <w:szCs w:val="22"/>
          <w:lang w:val="en-GB" w:eastAsia="en-US"/>
        </w:rPr>
        <w:t>value.</w:t>
      </w:r>
      <w:r w:rsidR="00422785" w:rsidRPr="00E2088D">
        <w:rPr>
          <w:rFonts w:eastAsia="Calibri"/>
          <w:sz w:val="20"/>
          <w:szCs w:val="22"/>
          <w:lang w:val="en-GB" w:eastAsia="en-US"/>
        </w:rPr>
        <w:t xml:space="preserve"> </w:t>
      </w:r>
    </w:p>
    <w:p w14:paraId="2E258EA0" w14:textId="10A36FD5" w:rsidR="000E342F" w:rsidRPr="00E2088D" w:rsidRDefault="008530B3" w:rsidP="000E342F">
      <w:pPr>
        <w:numPr>
          <w:ilvl w:val="0"/>
          <w:numId w:val="16"/>
        </w:numPr>
        <w:tabs>
          <w:tab w:val="left" w:pos="0"/>
          <w:tab w:val="left" w:pos="284"/>
        </w:tabs>
        <w:spacing w:line="276" w:lineRule="auto"/>
        <w:ind w:left="284" w:hanging="284"/>
        <w:contextualSpacing/>
        <w:rPr>
          <w:rFonts w:eastAsia="Calibri"/>
          <w:sz w:val="20"/>
          <w:szCs w:val="22"/>
          <w:lang w:val="en-GB" w:eastAsia="en-US"/>
        </w:rPr>
      </w:pPr>
      <w:r w:rsidRPr="00E2088D">
        <w:rPr>
          <w:rFonts w:eastAsia="Calibri"/>
          <w:sz w:val="20"/>
          <w:szCs w:val="22"/>
          <w:lang w:val="en-GB" w:eastAsia="en-US"/>
        </w:rPr>
        <w:lastRenderedPageBreak/>
        <w:t>Separate f</w:t>
      </w:r>
      <w:r w:rsidR="001261DC" w:rsidRPr="00E2088D">
        <w:rPr>
          <w:rFonts w:eastAsia="Calibri"/>
          <w:sz w:val="20"/>
          <w:szCs w:val="22"/>
          <w:lang w:val="en-GB" w:eastAsia="en-US"/>
        </w:rPr>
        <w:t>inancial statements and consolid</w:t>
      </w:r>
      <w:r w:rsidRPr="00E2088D">
        <w:rPr>
          <w:rFonts w:eastAsia="Calibri"/>
          <w:sz w:val="20"/>
          <w:szCs w:val="22"/>
          <w:lang w:val="en-GB" w:eastAsia="en-US"/>
        </w:rPr>
        <w:t>ated financial statements.</w:t>
      </w:r>
    </w:p>
    <w:p w14:paraId="71DD60AC" w14:textId="23A1980B" w:rsidR="000E342F" w:rsidRPr="00E2088D" w:rsidRDefault="008530B3" w:rsidP="008530B3">
      <w:pPr>
        <w:tabs>
          <w:tab w:val="left" w:pos="0"/>
          <w:tab w:val="left" w:pos="284"/>
        </w:tabs>
        <w:spacing w:line="276" w:lineRule="auto"/>
        <w:ind w:left="284"/>
        <w:contextualSpacing/>
        <w:rPr>
          <w:rFonts w:eastAsia="Calibri"/>
          <w:sz w:val="20"/>
          <w:szCs w:val="22"/>
          <w:lang w:val="en-GB" w:eastAsia="en-US"/>
        </w:rPr>
      </w:pPr>
      <w:r w:rsidRPr="00E2088D">
        <w:rPr>
          <w:rFonts w:eastAsia="Calibri"/>
          <w:sz w:val="20"/>
          <w:szCs w:val="22"/>
          <w:lang w:val="en-GB" w:eastAsia="en-US"/>
        </w:rPr>
        <w:t>–</w:t>
      </w:r>
      <w:r w:rsidRPr="00E2088D">
        <w:rPr>
          <w:rFonts w:eastAsia="Calibri"/>
          <w:sz w:val="20"/>
          <w:szCs w:val="22"/>
          <w:lang w:val="en-GB" w:eastAsia="en-US"/>
        </w:rPr>
        <w:tab/>
        <w:t>The structure of balance sheet and income statement:</w:t>
      </w:r>
      <w:r w:rsidR="000E342F" w:rsidRPr="00E2088D">
        <w:rPr>
          <w:rFonts w:eastAsia="Calibri"/>
          <w:sz w:val="20"/>
          <w:szCs w:val="22"/>
          <w:lang w:val="en-GB" w:eastAsia="en-US"/>
        </w:rPr>
        <w:t xml:space="preserve"> classifica</w:t>
      </w:r>
      <w:r w:rsidRPr="00E2088D">
        <w:rPr>
          <w:rFonts w:eastAsia="Calibri"/>
          <w:sz w:val="20"/>
          <w:szCs w:val="22"/>
          <w:lang w:val="en-GB" w:eastAsia="en-US"/>
        </w:rPr>
        <w:t>tions</w:t>
      </w:r>
      <w:r w:rsidR="00AE7801" w:rsidRPr="00E2088D">
        <w:rPr>
          <w:rFonts w:eastAsia="Calibri"/>
          <w:sz w:val="20"/>
          <w:szCs w:val="22"/>
          <w:lang w:val="en-GB" w:eastAsia="en-US"/>
        </w:rPr>
        <w:t>, OCI, recycling</w:t>
      </w:r>
      <w:r w:rsidR="000E342F" w:rsidRPr="00E2088D">
        <w:rPr>
          <w:rFonts w:eastAsia="Calibri"/>
          <w:sz w:val="20"/>
          <w:szCs w:val="22"/>
          <w:lang w:val="en-GB" w:eastAsia="en-US"/>
        </w:rPr>
        <w:t xml:space="preserve">. </w:t>
      </w:r>
    </w:p>
    <w:p w14:paraId="13941F96" w14:textId="77777777" w:rsidR="00EA6D3E" w:rsidRPr="00E2088D" w:rsidRDefault="00EA6D3E" w:rsidP="00EA6D3E">
      <w:pPr>
        <w:tabs>
          <w:tab w:val="left" w:pos="284"/>
          <w:tab w:val="left" w:pos="426"/>
        </w:tabs>
        <w:spacing w:before="120" w:line="240" w:lineRule="exact"/>
        <w:ind w:left="284"/>
        <w:rPr>
          <w:rFonts w:eastAsia="Calibri"/>
          <w:i/>
          <w:sz w:val="20"/>
          <w:szCs w:val="22"/>
          <w:lang w:val="en-GB" w:eastAsia="en-US"/>
        </w:rPr>
      </w:pPr>
      <w:r w:rsidRPr="00E2088D">
        <w:rPr>
          <w:rFonts w:eastAsia="Calibri"/>
          <w:sz w:val="20"/>
          <w:szCs w:val="22"/>
          <w:lang w:val="en-GB" w:eastAsia="en-US"/>
        </w:rPr>
        <w:t>2.</w:t>
      </w:r>
      <w:r w:rsidRPr="00E2088D">
        <w:rPr>
          <w:rFonts w:eastAsia="Calibri"/>
          <w:sz w:val="20"/>
          <w:szCs w:val="22"/>
          <w:lang w:val="en-GB" w:eastAsia="en-US"/>
        </w:rPr>
        <w:tab/>
      </w:r>
      <w:r w:rsidR="00811F97" w:rsidRPr="00E2088D">
        <w:rPr>
          <w:rFonts w:eastAsia="Calibri"/>
          <w:i/>
          <w:sz w:val="20"/>
          <w:szCs w:val="22"/>
          <w:lang w:val="en-GB" w:eastAsia="en-US"/>
        </w:rPr>
        <w:t>Prepar</w:t>
      </w:r>
      <w:r w:rsidR="00CF65E5" w:rsidRPr="00E2088D">
        <w:rPr>
          <w:rFonts w:eastAsia="Calibri"/>
          <w:i/>
          <w:sz w:val="20"/>
          <w:szCs w:val="22"/>
          <w:lang w:val="en-GB" w:eastAsia="en-US"/>
        </w:rPr>
        <w:t xml:space="preserve">ation of </w:t>
      </w:r>
      <w:r w:rsidR="00811F97" w:rsidRPr="00E2088D">
        <w:rPr>
          <w:rFonts w:eastAsia="Calibri"/>
          <w:i/>
          <w:sz w:val="20"/>
          <w:szCs w:val="22"/>
          <w:lang w:val="en-GB" w:eastAsia="en-US"/>
        </w:rPr>
        <w:t xml:space="preserve">the </w:t>
      </w:r>
      <w:r w:rsidR="00CF65E5" w:rsidRPr="00E2088D">
        <w:rPr>
          <w:rFonts w:eastAsia="Calibri"/>
          <w:i/>
          <w:sz w:val="20"/>
          <w:szCs w:val="22"/>
          <w:lang w:val="en-GB" w:eastAsia="en-US"/>
        </w:rPr>
        <w:t xml:space="preserve">IAS/IFRS </w:t>
      </w:r>
      <w:r w:rsidR="00811F97" w:rsidRPr="00E2088D">
        <w:rPr>
          <w:rFonts w:eastAsia="Calibri"/>
          <w:i/>
          <w:sz w:val="20"/>
          <w:szCs w:val="22"/>
          <w:lang w:val="en-GB" w:eastAsia="en-US"/>
        </w:rPr>
        <w:t>consolidated financial statements</w:t>
      </w:r>
      <w:r w:rsidRPr="00E2088D">
        <w:rPr>
          <w:rFonts w:eastAsia="Calibri"/>
          <w:i/>
          <w:sz w:val="20"/>
          <w:szCs w:val="22"/>
          <w:lang w:val="en-GB" w:eastAsia="en-US"/>
        </w:rPr>
        <w:t xml:space="preserve">. </w:t>
      </w:r>
    </w:p>
    <w:p w14:paraId="348C7504" w14:textId="5F948D75" w:rsidR="00035B35" w:rsidRPr="00E2088D" w:rsidRDefault="00035B35" w:rsidP="00035B35">
      <w:pPr>
        <w:spacing w:line="240" w:lineRule="exact"/>
        <w:ind w:firstLine="0"/>
        <w:rPr>
          <w:sz w:val="20"/>
          <w:lang w:val="en-GB"/>
        </w:rPr>
      </w:pPr>
      <w:r w:rsidRPr="00E2088D">
        <w:rPr>
          <w:sz w:val="20"/>
          <w:lang w:val="en-GB"/>
        </w:rPr>
        <w:t>–</w:t>
      </w:r>
      <w:r w:rsidRPr="00E2088D">
        <w:rPr>
          <w:sz w:val="20"/>
          <w:lang w:val="en-GB"/>
        </w:rPr>
        <w:tab/>
      </w:r>
      <w:r w:rsidR="006C3D2B" w:rsidRPr="00E2088D">
        <w:rPr>
          <w:sz w:val="20"/>
          <w:lang w:val="en-GB"/>
        </w:rPr>
        <w:t>Cons</w:t>
      </w:r>
      <w:r w:rsidR="001F04FD" w:rsidRPr="00E2088D">
        <w:rPr>
          <w:sz w:val="20"/>
          <w:lang w:val="en-GB"/>
        </w:rPr>
        <w:t xml:space="preserve">olidated financial statements: </w:t>
      </w:r>
      <w:r w:rsidR="006C3D2B" w:rsidRPr="00E2088D">
        <w:rPr>
          <w:sz w:val="20"/>
          <w:lang w:val="en-GB"/>
        </w:rPr>
        <w:t>methods.</w:t>
      </w:r>
    </w:p>
    <w:p w14:paraId="0B71E4C9" w14:textId="77777777" w:rsidR="00035B35" w:rsidRPr="00E2088D" w:rsidRDefault="00035B35" w:rsidP="00035B35">
      <w:pPr>
        <w:spacing w:line="240" w:lineRule="exact"/>
        <w:ind w:firstLine="0"/>
        <w:rPr>
          <w:sz w:val="20"/>
          <w:lang w:val="en-GB"/>
        </w:rPr>
      </w:pPr>
      <w:r w:rsidRPr="00E2088D">
        <w:rPr>
          <w:sz w:val="20"/>
          <w:lang w:val="en-GB"/>
        </w:rPr>
        <w:t>–</w:t>
      </w:r>
      <w:r w:rsidRPr="00E2088D">
        <w:rPr>
          <w:sz w:val="20"/>
          <w:lang w:val="en-GB"/>
        </w:rPr>
        <w:tab/>
      </w:r>
      <w:r w:rsidR="006C3D2B" w:rsidRPr="00E2088D">
        <w:rPr>
          <w:sz w:val="20"/>
          <w:lang w:val="en-GB"/>
        </w:rPr>
        <w:t>Measurement of consolidated capital and income</w:t>
      </w:r>
      <w:r w:rsidRPr="00E2088D">
        <w:rPr>
          <w:sz w:val="20"/>
          <w:lang w:val="en-GB"/>
        </w:rPr>
        <w:t xml:space="preserve">. </w:t>
      </w:r>
    </w:p>
    <w:p w14:paraId="2B62ADB1" w14:textId="77777777" w:rsidR="00035B35" w:rsidRPr="00E2088D" w:rsidRDefault="00035B35" w:rsidP="00035B35">
      <w:pPr>
        <w:spacing w:line="240" w:lineRule="exact"/>
        <w:ind w:firstLine="0"/>
        <w:rPr>
          <w:sz w:val="20"/>
          <w:lang w:val="en-GB"/>
        </w:rPr>
      </w:pPr>
      <w:r w:rsidRPr="00E2088D">
        <w:rPr>
          <w:sz w:val="20"/>
          <w:lang w:val="en-GB"/>
        </w:rPr>
        <w:t>–</w:t>
      </w:r>
      <w:r w:rsidRPr="00E2088D">
        <w:rPr>
          <w:sz w:val="20"/>
          <w:lang w:val="en-GB"/>
        </w:rPr>
        <w:tab/>
      </w:r>
      <w:r w:rsidR="006C3D2B" w:rsidRPr="00E2088D">
        <w:rPr>
          <w:sz w:val="20"/>
          <w:lang w:val="en-GB"/>
        </w:rPr>
        <w:t xml:space="preserve">Consolidation differences: </w:t>
      </w:r>
      <w:r w:rsidRPr="00E2088D">
        <w:rPr>
          <w:sz w:val="20"/>
          <w:lang w:val="en-GB"/>
        </w:rPr>
        <w:t>o</w:t>
      </w:r>
      <w:r w:rsidR="006C3D2B" w:rsidRPr="00E2088D">
        <w:rPr>
          <w:sz w:val="20"/>
          <w:lang w:val="en-GB"/>
        </w:rPr>
        <w:t>rigin and analysis</w:t>
      </w:r>
      <w:r w:rsidRPr="00E2088D">
        <w:rPr>
          <w:sz w:val="20"/>
          <w:lang w:val="en-GB"/>
        </w:rPr>
        <w:t>.</w:t>
      </w:r>
    </w:p>
    <w:p w14:paraId="03AE1B66" w14:textId="7C3E4743" w:rsidR="00035B35" w:rsidRPr="00E2088D" w:rsidRDefault="00035B35" w:rsidP="00035B35">
      <w:pPr>
        <w:spacing w:line="240" w:lineRule="exact"/>
        <w:ind w:firstLine="0"/>
        <w:rPr>
          <w:sz w:val="20"/>
          <w:lang w:val="en-GB"/>
        </w:rPr>
      </w:pPr>
      <w:r w:rsidRPr="00E2088D">
        <w:rPr>
          <w:sz w:val="20"/>
          <w:lang w:val="en-GB"/>
        </w:rPr>
        <w:t>–</w:t>
      </w:r>
      <w:r w:rsidRPr="00E2088D">
        <w:rPr>
          <w:sz w:val="20"/>
          <w:lang w:val="en-GB"/>
        </w:rPr>
        <w:tab/>
      </w:r>
      <w:r w:rsidR="006C3D2B" w:rsidRPr="00E2088D">
        <w:rPr>
          <w:sz w:val="20"/>
          <w:lang w:val="en-GB"/>
        </w:rPr>
        <w:t>Consolidation adjustments</w:t>
      </w:r>
      <w:r w:rsidRPr="00E2088D">
        <w:rPr>
          <w:sz w:val="20"/>
          <w:lang w:val="en-GB"/>
        </w:rPr>
        <w:t>.</w:t>
      </w:r>
    </w:p>
    <w:p w14:paraId="763C82F7" w14:textId="4D7FD9E0" w:rsidR="00AE7801" w:rsidRPr="00E2088D" w:rsidRDefault="00AE7801" w:rsidP="00AE7801">
      <w:pPr>
        <w:tabs>
          <w:tab w:val="left" w:pos="426"/>
        </w:tabs>
        <w:spacing w:before="120" w:line="240" w:lineRule="exact"/>
        <w:ind w:left="284"/>
        <w:rPr>
          <w:rFonts w:eastAsia="Calibri"/>
          <w:i/>
          <w:sz w:val="20"/>
          <w:szCs w:val="22"/>
          <w:lang w:val="en-GB" w:eastAsia="en-US"/>
        </w:rPr>
      </w:pPr>
      <w:r w:rsidRPr="00E2088D">
        <w:rPr>
          <w:rFonts w:eastAsia="Calibri"/>
          <w:sz w:val="20"/>
          <w:szCs w:val="22"/>
          <w:lang w:val="en-GB" w:eastAsia="en-US"/>
        </w:rPr>
        <w:t>3.</w:t>
      </w:r>
      <w:r w:rsidRPr="00E2088D">
        <w:rPr>
          <w:rFonts w:eastAsia="Calibri"/>
          <w:sz w:val="20"/>
          <w:szCs w:val="22"/>
          <w:lang w:val="en-GB" w:eastAsia="en-US"/>
        </w:rPr>
        <w:tab/>
      </w:r>
      <w:r w:rsidR="00032DDB" w:rsidRPr="00E2088D">
        <w:rPr>
          <w:rFonts w:eastAsia="Calibri"/>
          <w:i/>
          <w:sz w:val="20"/>
          <w:szCs w:val="22"/>
          <w:lang w:val="en-GB" w:eastAsia="en-US"/>
        </w:rPr>
        <w:t>Business combinations in the discipline of IAS/IFRS</w:t>
      </w:r>
      <w:r w:rsidRPr="00E2088D">
        <w:rPr>
          <w:rFonts w:eastAsia="Calibri"/>
          <w:i/>
          <w:sz w:val="20"/>
          <w:szCs w:val="22"/>
          <w:lang w:val="en-GB" w:eastAsia="en-US"/>
        </w:rPr>
        <w:t>.</w:t>
      </w:r>
    </w:p>
    <w:p w14:paraId="667260C7" w14:textId="0346315A" w:rsidR="00AE7801" w:rsidRPr="00E2088D" w:rsidRDefault="00AE7801" w:rsidP="00AE7801">
      <w:pPr>
        <w:tabs>
          <w:tab w:val="left" w:pos="426"/>
        </w:tabs>
        <w:spacing w:line="240" w:lineRule="exact"/>
        <w:ind w:left="284"/>
        <w:rPr>
          <w:rFonts w:eastAsia="Calibri"/>
          <w:sz w:val="20"/>
          <w:szCs w:val="22"/>
          <w:lang w:val="en-GB" w:eastAsia="en-US"/>
        </w:rPr>
      </w:pPr>
      <w:r w:rsidRPr="00E2088D">
        <w:rPr>
          <w:rFonts w:eastAsia="Calibri"/>
          <w:sz w:val="20"/>
          <w:szCs w:val="22"/>
          <w:lang w:val="en-GB" w:eastAsia="en-US"/>
        </w:rPr>
        <w:t>–</w:t>
      </w:r>
      <w:r w:rsidRPr="00E2088D">
        <w:rPr>
          <w:rFonts w:eastAsia="Calibri"/>
          <w:sz w:val="20"/>
          <w:szCs w:val="22"/>
          <w:lang w:val="en-GB" w:eastAsia="en-US"/>
        </w:rPr>
        <w:tab/>
      </w:r>
      <w:r w:rsidR="00032DDB" w:rsidRPr="00E2088D">
        <w:rPr>
          <w:rFonts w:eastAsia="Calibri"/>
          <w:sz w:val="20"/>
          <w:szCs w:val="22"/>
          <w:lang w:val="en-GB" w:eastAsia="en-US"/>
        </w:rPr>
        <w:t>The methods for recogni</w:t>
      </w:r>
      <w:r w:rsidR="009B011B" w:rsidRPr="00E2088D">
        <w:rPr>
          <w:rFonts w:eastAsia="Calibri"/>
          <w:sz w:val="20"/>
          <w:szCs w:val="22"/>
          <w:lang w:val="en-GB" w:eastAsia="en-US"/>
        </w:rPr>
        <w:t>s</w:t>
      </w:r>
      <w:r w:rsidR="00032DDB" w:rsidRPr="00E2088D">
        <w:rPr>
          <w:rFonts w:eastAsia="Calibri"/>
          <w:sz w:val="20"/>
          <w:szCs w:val="22"/>
          <w:lang w:val="en-GB" w:eastAsia="en-US"/>
        </w:rPr>
        <w:t xml:space="preserve">ing </w:t>
      </w:r>
      <w:r w:rsidR="00032DDB" w:rsidRPr="00E2088D">
        <w:rPr>
          <w:rFonts w:eastAsia="Calibri"/>
          <w:i/>
          <w:iCs/>
          <w:sz w:val="20"/>
          <w:szCs w:val="22"/>
          <w:lang w:val="en-GB" w:eastAsia="en-US"/>
        </w:rPr>
        <w:t>business combinations</w:t>
      </w:r>
      <w:r w:rsidRPr="00E2088D">
        <w:rPr>
          <w:rFonts w:eastAsia="Calibri"/>
          <w:sz w:val="20"/>
          <w:szCs w:val="22"/>
          <w:lang w:val="en-GB" w:eastAsia="en-US"/>
        </w:rPr>
        <w:t>.</w:t>
      </w:r>
    </w:p>
    <w:p w14:paraId="4CF7AA54" w14:textId="4424058B" w:rsidR="00AE7801" w:rsidRPr="00E2088D" w:rsidRDefault="00AE7801" w:rsidP="00AE7801">
      <w:pPr>
        <w:tabs>
          <w:tab w:val="left" w:pos="426"/>
        </w:tabs>
        <w:spacing w:line="240" w:lineRule="exact"/>
        <w:ind w:left="284"/>
        <w:rPr>
          <w:rFonts w:eastAsia="Calibri"/>
          <w:sz w:val="20"/>
          <w:szCs w:val="22"/>
          <w:lang w:val="en-GB" w:eastAsia="en-US"/>
        </w:rPr>
      </w:pPr>
      <w:r w:rsidRPr="00E2088D">
        <w:rPr>
          <w:rFonts w:eastAsia="Calibri"/>
          <w:sz w:val="20"/>
          <w:szCs w:val="22"/>
          <w:lang w:val="en-GB" w:eastAsia="en-US"/>
        </w:rPr>
        <w:t>–</w:t>
      </w:r>
      <w:r w:rsidRPr="00E2088D">
        <w:rPr>
          <w:rFonts w:eastAsia="Calibri"/>
          <w:sz w:val="20"/>
          <w:szCs w:val="22"/>
          <w:lang w:val="en-GB" w:eastAsia="en-US"/>
        </w:rPr>
        <w:tab/>
      </w:r>
      <w:r w:rsidR="00032DDB" w:rsidRPr="00E2088D">
        <w:rPr>
          <w:rFonts w:eastAsia="Calibri"/>
          <w:i/>
          <w:sz w:val="20"/>
          <w:szCs w:val="22"/>
          <w:lang w:val="en-GB" w:eastAsia="en-US"/>
        </w:rPr>
        <w:t xml:space="preserve">Purchase price allocation: </w:t>
      </w:r>
      <w:r w:rsidR="00032DDB" w:rsidRPr="00E2088D">
        <w:rPr>
          <w:rFonts w:eastAsia="Calibri"/>
          <w:iCs/>
          <w:sz w:val="20"/>
          <w:szCs w:val="22"/>
          <w:lang w:val="en-GB" w:eastAsia="en-US"/>
        </w:rPr>
        <w:t>assumptions and effects</w:t>
      </w:r>
      <w:r w:rsidRPr="00E2088D">
        <w:rPr>
          <w:rFonts w:eastAsia="Calibri"/>
          <w:sz w:val="20"/>
          <w:szCs w:val="22"/>
          <w:lang w:val="en-GB" w:eastAsia="en-US"/>
        </w:rPr>
        <w:t>.</w:t>
      </w:r>
    </w:p>
    <w:p w14:paraId="56DD5F81" w14:textId="4540A855" w:rsidR="00AE7801" w:rsidRPr="00E2088D" w:rsidRDefault="00AE7801" w:rsidP="00AE7801">
      <w:pPr>
        <w:tabs>
          <w:tab w:val="left" w:pos="426"/>
        </w:tabs>
        <w:spacing w:line="240" w:lineRule="exact"/>
        <w:ind w:left="284"/>
        <w:rPr>
          <w:rFonts w:eastAsia="Calibri"/>
          <w:sz w:val="20"/>
          <w:szCs w:val="22"/>
          <w:lang w:val="en-GB" w:eastAsia="en-US"/>
        </w:rPr>
      </w:pPr>
      <w:r w:rsidRPr="00E2088D">
        <w:rPr>
          <w:rFonts w:eastAsia="Calibri"/>
          <w:sz w:val="20"/>
          <w:szCs w:val="22"/>
          <w:lang w:val="en-GB" w:eastAsia="en-US"/>
        </w:rPr>
        <w:t>–</w:t>
      </w:r>
      <w:r w:rsidRPr="00E2088D">
        <w:rPr>
          <w:rFonts w:eastAsia="Calibri"/>
          <w:sz w:val="20"/>
          <w:szCs w:val="22"/>
          <w:lang w:val="en-GB" w:eastAsia="en-US"/>
        </w:rPr>
        <w:tab/>
      </w:r>
      <w:r w:rsidR="00032DDB" w:rsidRPr="00E2088D">
        <w:rPr>
          <w:rFonts w:eastAsia="Calibri"/>
          <w:sz w:val="20"/>
          <w:szCs w:val="22"/>
          <w:lang w:val="en-GB" w:eastAsia="en-US"/>
        </w:rPr>
        <w:t xml:space="preserve">The treatment of </w:t>
      </w:r>
      <w:r w:rsidR="00032DDB" w:rsidRPr="00E2088D">
        <w:rPr>
          <w:rFonts w:eastAsia="Calibri"/>
          <w:i/>
          <w:iCs/>
          <w:sz w:val="20"/>
          <w:szCs w:val="22"/>
          <w:lang w:val="en-GB" w:eastAsia="en-US"/>
        </w:rPr>
        <w:t>minorities</w:t>
      </w:r>
      <w:r w:rsidR="00032DDB" w:rsidRPr="00E2088D">
        <w:rPr>
          <w:rFonts w:eastAsia="Calibri"/>
          <w:sz w:val="20"/>
          <w:szCs w:val="22"/>
          <w:lang w:val="en-GB" w:eastAsia="en-US"/>
        </w:rPr>
        <w:t xml:space="preserve"> and </w:t>
      </w:r>
      <w:r w:rsidR="00032DDB" w:rsidRPr="00E2088D">
        <w:rPr>
          <w:rFonts w:eastAsia="Calibri"/>
          <w:i/>
          <w:iCs/>
          <w:sz w:val="20"/>
          <w:szCs w:val="22"/>
          <w:lang w:val="en-GB" w:eastAsia="en-US"/>
        </w:rPr>
        <w:t>step-up acquisition</w:t>
      </w:r>
      <w:r w:rsidRPr="00E2088D">
        <w:rPr>
          <w:rFonts w:eastAsia="Calibri"/>
          <w:i/>
          <w:sz w:val="20"/>
          <w:szCs w:val="22"/>
          <w:lang w:val="en-GB" w:eastAsia="en-US"/>
        </w:rPr>
        <w:t>.</w:t>
      </w:r>
    </w:p>
    <w:p w14:paraId="16C9DF72" w14:textId="174F4BF0" w:rsidR="00035B35" w:rsidRPr="00E2088D" w:rsidRDefault="00035B35" w:rsidP="00035B35">
      <w:pPr>
        <w:spacing w:before="120" w:line="240" w:lineRule="exact"/>
        <w:ind w:firstLine="0"/>
        <w:rPr>
          <w:sz w:val="20"/>
          <w:lang w:val="en-GB"/>
        </w:rPr>
      </w:pPr>
      <w:r w:rsidRPr="00E2088D">
        <w:rPr>
          <w:sz w:val="20"/>
          <w:lang w:val="en-GB"/>
        </w:rPr>
        <w:t>4.</w:t>
      </w:r>
      <w:r w:rsidRPr="00E2088D">
        <w:rPr>
          <w:sz w:val="20"/>
          <w:lang w:val="en-GB"/>
        </w:rPr>
        <w:tab/>
      </w:r>
      <w:r w:rsidR="00A769B8" w:rsidRPr="00E2088D">
        <w:rPr>
          <w:i/>
          <w:sz w:val="20"/>
          <w:lang w:val="en-GB"/>
        </w:rPr>
        <w:t>Goodwill</w:t>
      </w:r>
      <w:r w:rsidR="00A769B8" w:rsidRPr="00E2088D">
        <w:rPr>
          <w:sz w:val="20"/>
          <w:lang w:val="en-GB"/>
        </w:rPr>
        <w:t xml:space="preserve"> i</w:t>
      </w:r>
      <w:r w:rsidRPr="00E2088D">
        <w:rPr>
          <w:i/>
          <w:sz w:val="20"/>
          <w:lang w:val="en-GB"/>
        </w:rPr>
        <w:t>mpairment test</w:t>
      </w:r>
      <w:r w:rsidR="008D3398" w:rsidRPr="00E2088D">
        <w:rPr>
          <w:i/>
          <w:sz w:val="20"/>
          <w:lang w:val="en-GB"/>
        </w:rPr>
        <w:t>s</w:t>
      </w:r>
      <w:r w:rsidRPr="00E2088D">
        <w:rPr>
          <w:i/>
          <w:sz w:val="20"/>
          <w:lang w:val="en-GB"/>
        </w:rPr>
        <w:t xml:space="preserve"> </w:t>
      </w:r>
      <w:r w:rsidR="00A769B8" w:rsidRPr="00E2088D">
        <w:rPr>
          <w:i/>
          <w:sz w:val="20"/>
          <w:lang w:val="en-GB"/>
        </w:rPr>
        <w:t xml:space="preserve">in </w:t>
      </w:r>
      <w:r w:rsidR="008D3398" w:rsidRPr="00E2088D">
        <w:rPr>
          <w:i/>
          <w:sz w:val="20"/>
          <w:lang w:val="en-GB"/>
        </w:rPr>
        <w:t>consolidated financial statements</w:t>
      </w:r>
    </w:p>
    <w:p w14:paraId="598DCEE3" w14:textId="376C69DF" w:rsidR="00035B35" w:rsidRPr="00E2088D" w:rsidRDefault="00035B35" w:rsidP="00035B35">
      <w:pPr>
        <w:spacing w:line="240" w:lineRule="exact"/>
        <w:ind w:firstLine="0"/>
        <w:rPr>
          <w:sz w:val="20"/>
          <w:lang w:val="en-GB"/>
        </w:rPr>
      </w:pPr>
      <w:r w:rsidRPr="00E2088D">
        <w:rPr>
          <w:sz w:val="20"/>
          <w:lang w:val="en-GB"/>
        </w:rPr>
        <w:t>–</w:t>
      </w:r>
      <w:r w:rsidRPr="00E2088D">
        <w:rPr>
          <w:sz w:val="20"/>
          <w:lang w:val="en-GB"/>
        </w:rPr>
        <w:tab/>
      </w:r>
      <w:r w:rsidR="008D3398" w:rsidRPr="00E2088D">
        <w:rPr>
          <w:sz w:val="20"/>
          <w:lang w:val="en-GB"/>
        </w:rPr>
        <w:t>Impairment tests:</w:t>
      </w:r>
      <w:r w:rsidRPr="00E2088D">
        <w:rPr>
          <w:sz w:val="20"/>
          <w:lang w:val="en-GB"/>
        </w:rPr>
        <w:t xml:space="preserve"> </w:t>
      </w:r>
      <w:r w:rsidR="008D3398" w:rsidRPr="00E2088D">
        <w:rPr>
          <w:sz w:val="20"/>
          <w:lang w:val="en-GB"/>
        </w:rPr>
        <w:t xml:space="preserve">purposes </w:t>
      </w:r>
      <w:r w:rsidR="006C3D2B" w:rsidRPr="00E2088D">
        <w:rPr>
          <w:sz w:val="20"/>
          <w:lang w:val="en-GB"/>
        </w:rPr>
        <w:t xml:space="preserve">and </w:t>
      </w:r>
      <w:r w:rsidR="001D2C4F" w:rsidRPr="00E2088D">
        <w:rPr>
          <w:sz w:val="20"/>
          <w:lang w:val="en-GB"/>
        </w:rPr>
        <w:t xml:space="preserve">area </w:t>
      </w:r>
      <w:r w:rsidR="008D3398" w:rsidRPr="00E2088D">
        <w:rPr>
          <w:sz w:val="20"/>
          <w:lang w:val="en-GB"/>
        </w:rPr>
        <w:t xml:space="preserve">of </w:t>
      </w:r>
      <w:r w:rsidR="006C3D2B" w:rsidRPr="00E2088D">
        <w:rPr>
          <w:sz w:val="20"/>
          <w:lang w:val="en-GB"/>
        </w:rPr>
        <w:t>application</w:t>
      </w:r>
      <w:r w:rsidRPr="00E2088D">
        <w:rPr>
          <w:sz w:val="20"/>
          <w:lang w:val="en-GB"/>
        </w:rPr>
        <w:t>.</w:t>
      </w:r>
    </w:p>
    <w:p w14:paraId="3046B654" w14:textId="77777777" w:rsidR="00035B35" w:rsidRPr="00E2088D" w:rsidRDefault="00035B35" w:rsidP="00035B35">
      <w:pPr>
        <w:spacing w:line="240" w:lineRule="exact"/>
        <w:ind w:firstLine="0"/>
        <w:rPr>
          <w:sz w:val="20"/>
          <w:lang w:val="en-GB"/>
        </w:rPr>
      </w:pPr>
      <w:r w:rsidRPr="00E2088D">
        <w:rPr>
          <w:sz w:val="20"/>
          <w:lang w:val="en-GB"/>
        </w:rPr>
        <w:t>–</w:t>
      </w:r>
      <w:r w:rsidRPr="00E2088D">
        <w:rPr>
          <w:sz w:val="20"/>
          <w:lang w:val="en-GB"/>
        </w:rPr>
        <w:tab/>
      </w:r>
      <w:r w:rsidR="008D3398" w:rsidRPr="00E2088D">
        <w:rPr>
          <w:sz w:val="20"/>
          <w:lang w:val="en-GB"/>
        </w:rPr>
        <w:t>Impairment tests: intangible assets</w:t>
      </w:r>
      <w:r w:rsidR="006C3D2B" w:rsidRPr="00E2088D">
        <w:rPr>
          <w:sz w:val="20"/>
          <w:lang w:val="en-GB"/>
        </w:rPr>
        <w:t xml:space="preserve"> and </w:t>
      </w:r>
      <w:r w:rsidR="008D3398" w:rsidRPr="00E2088D">
        <w:rPr>
          <w:sz w:val="20"/>
          <w:lang w:val="en-GB"/>
        </w:rPr>
        <w:t>goodwill</w:t>
      </w:r>
      <w:r w:rsidRPr="00E2088D">
        <w:rPr>
          <w:sz w:val="20"/>
          <w:lang w:val="en-GB"/>
        </w:rPr>
        <w:t>.</w:t>
      </w:r>
    </w:p>
    <w:p w14:paraId="23CD8285" w14:textId="77777777" w:rsidR="00035B35" w:rsidRPr="00E2088D" w:rsidRDefault="00035B35" w:rsidP="00035B35">
      <w:pPr>
        <w:spacing w:line="240" w:lineRule="exact"/>
        <w:ind w:firstLine="0"/>
        <w:rPr>
          <w:sz w:val="20"/>
          <w:lang w:val="en-GB"/>
        </w:rPr>
      </w:pPr>
      <w:r w:rsidRPr="00E2088D">
        <w:rPr>
          <w:sz w:val="20"/>
          <w:lang w:val="en-GB"/>
        </w:rPr>
        <w:t>–</w:t>
      </w:r>
      <w:r w:rsidRPr="00E2088D">
        <w:rPr>
          <w:sz w:val="20"/>
          <w:lang w:val="en-GB"/>
        </w:rPr>
        <w:tab/>
        <w:t>Business combination</w:t>
      </w:r>
      <w:r w:rsidR="008D3398" w:rsidRPr="00E2088D">
        <w:rPr>
          <w:sz w:val="20"/>
          <w:lang w:val="en-GB"/>
        </w:rPr>
        <w:t>s</w:t>
      </w:r>
      <w:r w:rsidRPr="00E2088D">
        <w:rPr>
          <w:sz w:val="20"/>
          <w:lang w:val="en-GB"/>
        </w:rPr>
        <w:t>, cash generating unit</w:t>
      </w:r>
      <w:r w:rsidR="008D3398" w:rsidRPr="00E2088D">
        <w:rPr>
          <w:sz w:val="20"/>
          <w:lang w:val="en-GB"/>
        </w:rPr>
        <w:t>s</w:t>
      </w:r>
      <w:r w:rsidR="006C3D2B" w:rsidRPr="00E2088D">
        <w:rPr>
          <w:sz w:val="20"/>
          <w:lang w:val="en-GB"/>
        </w:rPr>
        <w:t xml:space="preserve"> and </w:t>
      </w:r>
      <w:r w:rsidRPr="00E2088D">
        <w:rPr>
          <w:sz w:val="20"/>
          <w:lang w:val="en-GB"/>
        </w:rPr>
        <w:t>impairment test</w:t>
      </w:r>
      <w:r w:rsidR="008D3398" w:rsidRPr="00E2088D">
        <w:rPr>
          <w:sz w:val="20"/>
          <w:lang w:val="en-GB"/>
        </w:rPr>
        <w:t>s</w:t>
      </w:r>
      <w:r w:rsidRPr="00E2088D">
        <w:rPr>
          <w:sz w:val="20"/>
          <w:lang w:val="en-GB"/>
        </w:rPr>
        <w:t>.</w:t>
      </w:r>
    </w:p>
    <w:p w14:paraId="1E14DF2B" w14:textId="50D1291F" w:rsidR="00035B35" w:rsidRPr="00E2088D" w:rsidRDefault="00035B35" w:rsidP="00035B35">
      <w:pPr>
        <w:spacing w:before="120" w:line="240" w:lineRule="exact"/>
        <w:ind w:firstLine="0"/>
        <w:rPr>
          <w:sz w:val="20"/>
          <w:lang w:val="en-GB"/>
        </w:rPr>
      </w:pPr>
      <w:r w:rsidRPr="00E2088D">
        <w:rPr>
          <w:sz w:val="20"/>
          <w:lang w:val="en-GB"/>
        </w:rPr>
        <w:t>5.</w:t>
      </w:r>
      <w:r w:rsidRPr="00E2088D">
        <w:rPr>
          <w:sz w:val="20"/>
          <w:lang w:val="en-GB"/>
        </w:rPr>
        <w:tab/>
      </w:r>
      <w:r w:rsidR="00A769B8" w:rsidRPr="00E2088D">
        <w:rPr>
          <w:sz w:val="20"/>
          <w:lang w:val="en-GB"/>
        </w:rPr>
        <w:t>A</w:t>
      </w:r>
      <w:r w:rsidR="00A769B8" w:rsidRPr="00E2088D">
        <w:rPr>
          <w:i/>
          <w:sz w:val="20"/>
          <w:lang w:val="en-GB"/>
        </w:rPr>
        <w:t xml:space="preserve">ccounting </w:t>
      </w:r>
      <w:r w:rsidR="006C3D2B" w:rsidRPr="00E2088D">
        <w:rPr>
          <w:i/>
          <w:sz w:val="20"/>
          <w:lang w:val="en-GB"/>
        </w:rPr>
        <w:t xml:space="preserve">and </w:t>
      </w:r>
      <w:r w:rsidR="008D3398" w:rsidRPr="00E2088D">
        <w:rPr>
          <w:i/>
          <w:sz w:val="20"/>
          <w:lang w:val="en-GB"/>
        </w:rPr>
        <w:t xml:space="preserve">valuation of </w:t>
      </w:r>
      <w:r w:rsidR="006C3D2B" w:rsidRPr="00E2088D">
        <w:rPr>
          <w:i/>
          <w:sz w:val="20"/>
          <w:lang w:val="en-GB"/>
        </w:rPr>
        <w:t>financial</w:t>
      </w:r>
      <w:r w:rsidR="008D3398" w:rsidRPr="00E2088D">
        <w:rPr>
          <w:i/>
          <w:sz w:val="20"/>
          <w:lang w:val="en-GB"/>
        </w:rPr>
        <w:t xml:space="preserve"> instruments</w:t>
      </w:r>
    </w:p>
    <w:p w14:paraId="21C2269A" w14:textId="391709AF" w:rsidR="00035B35" w:rsidRPr="00E2088D" w:rsidRDefault="00035B35" w:rsidP="00035B35">
      <w:pPr>
        <w:spacing w:line="240" w:lineRule="exact"/>
        <w:ind w:left="284"/>
        <w:rPr>
          <w:sz w:val="20"/>
          <w:lang w:val="en-GB"/>
        </w:rPr>
      </w:pPr>
      <w:r w:rsidRPr="00E2088D">
        <w:rPr>
          <w:sz w:val="20"/>
          <w:lang w:val="en-GB"/>
        </w:rPr>
        <w:t>–</w:t>
      </w:r>
      <w:r w:rsidRPr="00E2088D">
        <w:rPr>
          <w:sz w:val="20"/>
          <w:lang w:val="en-GB"/>
        </w:rPr>
        <w:tab/>
      </w:r>
      <w:r w:rsidR="008D3398" w:rsidRPr="00E2088D">
        <w:rPr>
          <w:sz w:val="20"/>
          <w:lang w:val="en-GB"/>
        </w:rPr>
        <w:t>F</w:t>
      </w:r>
      <w:r w:rsidR="006C3D2B" w:rsidRPr="00E2088D">
        <w:rPr>
          <w:sz w:val="20"/>
          <w:lang w:val="en-GB"/>
        </w:rPr>
        <w:t>inancial</w:t>
      </w:r>
      <w:r w:rsidR="008D3398" w:rsidRPr="00E2088D">
        <w:rPr>
          <w:sz w:val="20"/>
          <w:lang w:val="en-GB"/>
        </w:rPr>
        <w:t xml:space="preserve"> instruments</w:t>
      </w:r>
      <w:r w:rsidRPr="00E2088D">
        <w:rPr>
          <w:sz w:val="20"/>
          <w:lang w:val="en-GB"/>
        </w:rPr>
        <w:t xml:space="preserve">: </w:t>
      </w:r>
      <w:r w:rsidR="00A769B8" w:rsidRPr="00E2088D">
        <w:rPr>
          <w:sz w:val="20"/>
          <w:lang w:val="en-GB"/>
        </w:rPr>
        <w:t>definitions</w:t>
      </w:r>
      <w:r w:rsidR="001D2C4F" w:rsidRPr="00E2088D">
        <w:rPr>
          <w:sz w:val="20"/>
          <w:lang w:val="en-GB"/>
        </w:rPr>
        <w:t xml:space="preserve"> and classification</w:t>
      </w:r>
      <w:r w:rsidRPr="00E2088D">
        <w:rPr>
          <w:sz w:val="20"/>
          <w:lang w:val="en-GB"/>
        </w:rPr>
        <w:t>.</w:t>
      </w:r>
    </w:p>
    <w:p w14:paraId="304F9B57" w14:textId="55264E5A" w:rsidR="00035B35" w:rsidRPr="00E2088D" w:rsidRDefault="00035B35" w:rsidP="00035B35">
      <w:pPr>
        <w:spacing w:line="240" w:lineRule="exact"/>
        <w:ind w:left="284"/>
        <w:rPr>
          <w:sz w:val="20"/>
          <w:lang w:val="en-GB"/>
        </w:rPr>
      </w:pPr>
      <w:r w:rsidRPr="00E2088D">
        <w:rPr>
          <w:sz w:val="20"/>
          <w:lang w:val="en-GB"/>
        </w:rPr>
        <w:t>–</w:t>
      </w:r>
      <w:r w:rsidRPr="00E2088D">
        <w:rPr>
          <w:sz w:val="20"/>
          <w:lang w:val="en-GB"/>
        </w:rPr>
        <w:tab/>
      </w:r>
      <w:r w:rsidR="00A769B8" w:rsidRPr="00E2088D">
        <w:rPr>
          <w:sz w:val="20"/>
          <w:lang w:val="en-GB"/>
        </w:rPr>
        <w:t xml:space="preserve">Accounting </w:t>
      </w:r>
      <w:r w:rsidR="006C3D2B" w:rsidRPr="00E2088D">
        <w:rPr>
          <w:sz w:val="20"/>
          <w:lang w:val="en-GB"/>
        </w:rPr>
        <w:t xml:space="preserve">and </w:t>
      </w:r>
      <w:r w:rsidR="008D3398" w:rsidRPr="00E2088D">
        <w:rPr>
          <w:sz w:val="20"/>
          <w:lang w:val="en-GB"/>
        </w:rPr>
        <w:t xml:space="preserve">valuation of different </w:t>
      </w:r>
      <w:r w:rsidRPr="00E2088D">
        <w:rPr>
          <w:sz w:val="20"/>
          <w:lang w:val="en-GB"/>
        </w:rPr>
        <w:t>categorie</w:t>
      </w:r>
      <w:r w:rsidR="008D3398" w:rsidRPr="00E2088D">
        <w:rPr>
          <w:sz w:val="20"/>
          <w:lang w:val="en-GB"/>
        </w:rPr>
        <w:t>s</w:t>
      </w:r>
      <w:r w:rsidRPr="00E2088D">
        <w:rPr>
          <w:sz w:val="20"/>
          <w:lang w:val="en-GB"/>
        </w:rPr>
        <w:t xml:space="preserve"> </w:t>
      </w:r>
      <w:r w:rsidR="008D3398" w:rsidRPr="00E2088D">
        <w:rPr>
          <w:sz w:val="20"/>
          <w:lang w:val="en-GB"/>
        </w:rPr>
        <w:t xml:space="preserve">of </w:t>
      </w:r>
      <w:r w:rsidR="006C3D2B" w:rsidRPr="00E2088D">
        <w:rPr>
          <w:sz w:val="20"/>
          <w:lang w:val="en-GB"/>
        </w:rPr>
        <w:t>financial</w:t>
      </w:r>
      <w:r w:rsidR="008D3398" w:rsidRPr="00E2088D">
        <w:rPr>
          <w:sz w:val="20"/>
          <w:lang w:val="en-GB"/>
        </w:rPr>
        <w:t xml:space="preserve"> instruments</w:t>
      </w:r>
      <w:r w:rsidRPr="00E2088D">
        <w:rPr>
          <w:sz w:val="20"/>
          <w:lang w:val="en-GB"/>
        </w:rPr>
        <w:t>.</w:t>
      </w:r>
    </w:p>
    <w:p w14:paraId="790737B0" w14:textId="36E9DF87" w:rsidR="00035B35" w:rsidRPr="00E2088D" w:rsidRDefault="00035B35" w:rsidP="00035B35">
      <w:pPr>
        <w:spacing w:line="240" w:lineRule="exact"/>
        <w:ind w:left="284"/>
        <w:rPr>
          <w:sz w:val="20"/>
          <w:lang w:val="en-GB"/>
        </w:rPr>
      </w:pPr>
      <w:r w:rsidRPr="00E2088D">
        <w:rPr>
          <w:sz w:val="20"/>
          <w:lang w:val="en-GB"/>
        </w:rPr>
        <w:t>–</w:t>
      </w:r>
      <w:r w:rsidRPr="00E2088D">
        <w:rPr>
          <w:sz w:val="20"/>
          <w:lang w:val="en-GB"/>
        </w:rPr>
        <w:tab/>
      </w:r>
      <w:r w:rsidR="001D2C4F" w:rsidRPr="00E2088D">
        <w:rPr>
          <w:sz w:val="20"/>
          <w:lang w:val="en-GB"/>
        </w:rPr>
        <w:t>F</w:t>
      </w:r>
      <w:r w:rsidRPr="00E2088D">
        <w:rPr>
          <w:sz w:val="20"/>
          <w:lang w:val="en-GB"/>
        </w:rPr>
        <w:t>air value</w:t>
      </w:r>
      <w:r w:rsidR="006C3D2B" w:rsidRPr="00E2088D">
        <w:rPr>
          <w:sz w:val="20"/>
          <w:lang w:val="en-GB"/>
        </w:rPr>
        <w:t xml:space="preserve"> and </w:t>
      </w:r>
      <w:r w:rsidRPr="00E2088D">
        <w:rPr>
          <w:sz w:val="20"/>
          <w:lang w:val="en-GB"/>
        </w:rPr>
        <w:t>impairment test</w:t>
      </w:r>
      <w:r w:rsidR="008D3398" w:rsidRPr="00E2088D">
        <w:rPr>
          <w:sz w:val="20"/>
          <w:lang w:val="en-GB"/>
        </w:rPr>
        <w:t>s</w:t>
      </w:r>
      <w:r w:rsidR="001D2C4F" w:rsidRPr="00E2088D">
        <w:rPr>
          <w:sz w:val="20"/>
          <w:lang w:val="en-GB"/>
        </w:rPr>
        <w:t xml:space="preserve"> of financial assets</w:t>
      </w:r>
      <w:r w:rsidRPr="00E2088D">
        <w:rPr>
          <w:sz w:val="20"/>
          <w:lang w:val="en-GB"/>
        </w:rPr>
        <w:t xml:space="preserve">. </w:t>
      </w:r>
    </w:p>
    <w:p w14:paraId="5DE666D6" w14:textId="198D8278" w:rsidR="00AE7801" w:rsidRPr="00E2088D" w:rsidRDefault="00AE7801" w:rsidP="00AE7801">
      <w:pPr>
        <w:tabs>
          <w:tab w:val="left" w:pos="426"/>
        </w:tabs>
        <w:spacing w:before="120" w:line="240" w:lineRule="exact"/>
        <w:ind w:left="284"/>
        <w:rPr>
          <w:rFonts w:eastAsia="Calibri"/>
          <w:sz w:val="20"/>
          <w:szCs w:val="22"/>
          <w:lang w:val="en-GB" w:eastAsia="en-US"/>
        </w:rPr>
      </w:pPr>
      <w:r w:rsidRPr="00E2088D">
        <w:rPr>
          <w:rFonts w:eastAsia="Calibri"/>
          <w:sz w:val="20"/>
          <w:szCs w:val="22"/>
          <w:lang w:val="en-GB" w:eastAsia="en-US"/>
        </w:rPr>
        <w:t>6.</w:t>
      </w:r>
      <w:r w:rsidRPr="00E2088D">
        <w:rPr>
          <w:rFonts w:eastAsia="Calibri"/>
          <w:sz w:val="20"/>
          <w:szCs w:val="22"/>
          <w:lang w:val="en-GB" w:eastAsia="en-US"/>
        </w:rPr>
        <w:tab/>
      </w:r>
      <w:r w:rsidR="00032DDB" w:rsidRPr="00E2088D">
        <w:rPr>
          <w:rFonts w:eastAsia="Calibri"/>
          <w:i/>
          <w:sz w:val="20"/>
          <w:szCs w:val="22"/>
          <w:lang w:val="en-GB" w:eastAsia="en-US"/>
        </w:rPr>
        <w:t>Reading and interpretation of consolidated financial statements</w:t>
      </w:r>
      <w:r w:rsidRPr="00E2088D">
        <w:rPr>
          <w:rFonts w:eastAsia="Calibri"/>
          <w:i/>
          <w:sz w:val="20"/>
          <w:szCs w:val="22"/>
          <w:lang w:val="en-GB" w:eastAsia="en-US"/>
        </w:rPr>
        <w:t>.</w:t>
      </w:r>
    </w:p>
    <w:p w14:paraId="6B0401AC" w14:textId="163ABC69" w:rsidR="00AE7801" w:rsidRPr="00E2088D" w:rsidRDefault="00AE7801" w:rsidP="00AE7801">
      <w:pPr>
        <w:tabs>
          <w:tab w:val="left" w:pos="426"/>
        </w:tabs>
        <w:spacing w:line="240" w:lineRule="exact"/>
        <w:ind w:left="284"/>
        <w:rPr>
          <w:rFonts w:eastAsia="Calibri"/>
          <w:sz w:val="20"/>
          <w:szCs w:val="22"/>
          <w:lang w:val="en-GB" w:eastAsia="en-US"/>
        </w:rPr>
      </w:pPr>
      <w:r w:rsidRPr="00E2088D">
        <w:rPr>
          <w:rFonts w:eastAsia="Calibri"/>
          <w:sz w:val="20"/>
          <w:szCs w:val="22"/>
          <w:lang w:val="en-GB" w:eastAsia="en-US"/>
        </w:rPr>
        <w:t>–</w:t>
      </w:r>
      <w:r w:rsidRPr="00E2088D">
        <w:rPr>
          <w:rFonts w:eastAsia="Calibri"/>
          <w:sz w:val="20"/>
          <w:szCs w:val="22"/>
          <w:lang w:val="en-GB" w:eastAsia="en-US"/>
        </w:rPr>
        <w:tab/>
      </w:r>
      <w:r w:rsidR="00DE5B7A" w:rsidRPr="00E2088D">
        <w:rPr>
          <w:rFonts w:eastAsia="Calibri"/>
          <w:sz w:val="20"/>
          <w:szCs w:val="22"/>
          <w:lang w:val="en-GB" w:eastAsia="en-US"/>
        </w:rPr>
        <w:t>A model of interpretation of the health status of the group</w:t>
      </w:r>
      <w:r w:rsidRPr="00E2088D">
        <w:rPr>
          <w:rFonts w:eastAsia="Calibri"/>
          <w:sz w:val="20"/>
          <w:szCs w:val="22"/>
          <w:lang w:val="en-GB" w:eastAsia="en-US"/>
        </w:rPr>
        <w:t>.</w:t>
      </w:r>
    </w:p>
    <w:p w14:paraId="13C10CD6" w14:textId="481E23C7" w:rsidR="00AE7801" w:rsidRPr="00E2088D" w:rsidRDefault="00AE7801" w:rsidP="00AE7801">
      <w:pPr>
        <w:tabs>
          <w:tab w:val="left" w:pos="426"/>
        </w:tabs>
        <w:spacing w:line="240" w:lineRule="exact"/>
        <w:ind w:left="284"/>
        <w:rPr>
          <w:rFonts w:eastAsia="Calibri"/>
          <w:sz w:val="20"/>
          <w:szCs w:val="22"/>
          <w:lang w:val="en-GB" w:eastAsia="en-US"/>
        </w:rPr>
      </w:pPr>
      <w:r w:rsidRPr="00E2088D">
        <w:rPr>
          <w:rFonts w:eastAsia="Calibri"/>
          <w:sz w:val="20"/>
          <w:szCs w:val="22"/>
          <w:lang w:val="en-GB" w:eastAsia="en-US"/>
        </w:rPr>
        <w:t>–</w:t>
      </w:r>
      <w:r w:rsidRPr="00E2088D">
        <w:rPr>
          <w:rFonts w:eastAsia="Calibri"/>
          <w:sz w:val="20"/>
          <w:szCs w:val="22"/>
          <w:lang w:val="en-GB" w:eastAsia="en-US"/>
        </w:rPr>
        <w:tab/>
      </w:r>
      <w:proofErr w:type="spellStart"/>
      <w:r w:rsidR="00DE5B7A" w:rsidRPr="00E2088D">
        <w:rPr>
          <w:rFonts w:eastAsia="Calibri"/>
          <w:sz w:val="20"/>
          <w:szCs w:val="22"/>
          <w:lang w:val="en-GB" w:eastAsia="en-US"/>
        </w:rPr>
        <w:t>Gaap</w:t>
      </w:r>
      <w:proofErr w:type="spellEnd"/>
      <w:r w:rsidR="00DE5B7A" w:rsidRPr="00E2088D">
        <w:rPr>
          <w:rFonts w:eastAsia="Calibri"/>
          <w:sz w:val="20"/>
          <w:szCs w:val="22"/>
          <w:lang w:val="en-GB" w:eastAsia="en-US"/>
        </w:rPr>
        <w:t>-measures, non-</w:t>
      </w:r>
      <w:proofErr w:type="spellStart"/>
      <w:r w:rsidR="00DE5B7A" w:rsidRPr="00E2088D">
        <w:rPr>
          <w:rFonts w:eastAsia="Calibri"/>
          <w:sz w:val="20"/>
          <w:szCs w:val="22"/>
          <w:lang w:val="en-GB" w:eastAsia="en-US"/>
        </w:rPr>
        <w:t>Gaap</w:t>
      </w:r>
      <w:proofErr w:type="spellEnd"/>
      <w:r w:rsidR="00DE5B7A" w:rsidRPr="00E2088D">
        <w:rPr>
          <w:rFonts w:eastAsia="Calibri"/>
          <w:sz w:val="20"/>
          <w:szCs w:val="22"/>
          <w:lang w:val="en-GB" w:eastAsia="en-US"/>
        </w:rPr>
        <w:t xml:space="preserve"> measures and group performance</w:t>
      </w:r>
      <w:r w:rsidRPr="00E2088D">
        <w:rPr>
          <w:rFonts w:eastAsia="Calibri"/>
          <w:sz w:val="20"/>
          <w:szCs w:val="22"/>
          <w:lang w:val="en-GB" w:eastAsia="en-US"/>
        </w:rPr>
        <w:t>.</w:t>
      </w:r>
    </w:p>
    <w:p w14:paraId="70163033" w14:textId="5497D3D6" w:rsidR="00AE7801" w:rsidRPr="00E2088D" w:rsidRDefault="00AE7801" w:rsidP="00AE7801">
      <w:pPr>
        <w:tabs>
          <w:tab w:val="left" w:pos="426"/>
        </w:tabs>
        <w:spacing w:line="240" w:lineRule="exact"/>
        <w:ind w:left="284"/>
        <w:rPr>
          <w:rFonts w:eastAsia="Calibri"/>
          <w:sz w:val="20"/>
          <w:szCs w:val="22"/>
          <w:lang w:val="en-GB" w:eastAsia="en-US"/>
        </w:rPr>
      </w:pPr>
      <w:r w:rsidRPr="00E2088D">
        <w:rPr>
          <w:rFonts w:eastAsia="Calibri"/>
          <w:sz w:val="20"/>
          <w:szCs w:val="22"/>
          <w:lang w:val="en-GB" w:eastAsia="en-US"/>
        </w:rPr>
        <w:t>–</w:t>
      </w:r>
      <w:r w:rsidRPr="00E2088D">
        <w:rPr>
          <w:rFonts w:eastAsia="Calibri"/>
          <w:sz w:val="20"/>
          <w:szCs w:val="22"/>
          <w:lang w:val="en-GB" w:eastAsia="en-US"/>
        </w:rPr>
        <w:tab/>
      </w:r>
      <w:r w:rsidR="00DE5B7A" w:rsidRPr="00E2088D">
        <w:rPr>
          <w:rFonts w:eastAsia="Calibri"/>
          <w:sz w:val="20"/>
          <w:szCs w:val="22"/>
          <w:lang w:val="en-GB" w:eastAsia="en-US"/>
        </w:rPr>
        <w:t xml:space="preserve">From consolidated financial statements to </w:t>
      </w:r>
      <w:r w:rsidR="00DE5B7A" w:rsidRPr="00E2088D">
        <w:rPr>
          <w:rFonts w:eastAsia="Calibri"/>
          <w:i/>
          <w:iCs/>
          <w:sz w:val="20"/>
          <w:szCs w:val="22"/>
          <w:lang w:val="en-GB" w:eastAsia="en-US"/>
        </w:rPr>
        <w:t>segmental reporting</w:t>
      </w:r>
      <w:r w:rsidRPr="00E2088D">
        <w:rPr>
          <w:rFonts w:eastAsia="Calibri"/>
          <w:sz w:val="20"/>
          <w:szCs w:val="22"/>
          <w:lang w:val="en-GB" w:eastAsia="en-US"/>
        </w:rPr>
        <w:t>.</w:t>
      </w:r>
    </w:p>
    <w:p w14:paraId="24F04809" w14:textId="77777777" w:rsidR="00000AD1" w:rsidRPr="00E2088D" w:rsidRDefault="006C3D2B" w:rsidP="00A338F9">
      <w:pPr>
        <w:spacing w:before="240" w:after="120" w:line="220" w:lineRule="exact"/>
        <w:ind w:firstLine="0"/>
        <w:rPr>
          <w:b/>
          <w:i/>
          <w:sz w:val="18"/>
        </w:rPr>
      </w:pPr>
      <w:r w:rsidRPr="00E2088D">
        <w:rPr>
          <w:b/>
          <w:i/>
          <w:sz w:val="18"/>
        </w:rPr>
        <w:t>READING LIST</w:t>
      </w:r>
    </w:p>
    <w:p w14:paraId="310846BB" w14:textId="77777777" w:rsidR="00EA6D3E" w:rsidRPr="00E2088D" w:rsidRDefault="00EA6D3E" w:rsidP="00EA6D3E">
      <w:pPr>
        <w:spacing w:line="220" w:lineRule="exact"/>
        <w:ind w:left="284"/>
        <w:rPr>
          <w:rFonts w:ascii="Times" w:hAnsi="Times"/>
          <w:sz w:val="18"/>
          <w:szCs w:val="20"/>
        </w:rPr>
      </w:pPr>
      <w:r w:rsidRPr="00E2088D">
        <w:rPr>
          <w:rFonts w:ascii="Times" w:hAnsi="Times"/>
          <w:smallCaps/>
          <w:sz w:val="16"/>
          <w:szCs w:val="20"/>
        </w:rPr>
        <w:t>A. Lionzo,</w:t>
      </w:r>
      <w:r w:rsidRPr="00E2088D">
        <w:rPr>
          <w:rFonts w:ascii="Times" w:hAnsi="Times"/>
          <w:sz w:val="18"/>
          <w:szCs w:val="20"/>
        </w:rPr>
        <w:t xml:space="preserve"> </w:t>
      </w:r>
      <w:r w:rsidRPr="00E2088D">
        <w:rPr>
          <w:rFonts w:ascii="Times" w:hAnsi="Times"/>
          <w:i/>
          <w:sz w:val="18"/>
          <w:szCs w:val="20"/>
        </w:rPr>
        <w:t>Il bilancio consolidato secondo i principi contabili internazionali</w:t>
      </w:r>
      <w:r w:rsidRPr="00E2088D">
        <w:rPr>
          <w:rFonts w:ascii="Times" w:hAnsi="Times"/>
          <w:sz w:val="18"/>
          <w:szCs w:val="20"/>
        </w:rPr>
        <w:t xml:space="preserve"> – </w:t>
      </w:r>
      <w:r w:rsidRPr="00E2088D">
        <w:rPr>
          <w:rFonts w:ascii="Times" w:hAnsi="Times"/>
          <w:i/>
          <w:sz w:val="18"/>
          <w:szCs w:val="20"/>
        </w:rPr>
        <w:t>Assunti, principi e logica valutativa,</w:t>
      </w:r>
      <w:r w:rsidRPr="00E2088D">
        <w:rPr>
          <w:rFonts w:ascii="Times" w:hAnsi="Times"/>
          <w:sz w:val="18"/>
          <w:szCs w:val="20"/>
        </w:rPr>
        <w:t xml:space="preserve"> in </w:t>
      </w:r>
      <w:r w:rsidRPr="00E2088D">
        <w:rPr>
          <w:rFonts w:ascii="Times" w:hAnsi="Times"/>
          <w:smallCaps/>
          <w:sz w:val="16"/>
          <w:szCs w:val="20"/>
        </w:rPr>
        <w:t>A. Palma</w:t>
      </w:r>
      <w:r w:rsidRPr="00E2088D">
        <w:rPr>
          <w:rFonts w:ascii="Times" w:hAnsi="Times"/>
          <w:sz w:val="18"/>
          <w:szCs w:val="20"/>
        </w:rPr>
        <w:t xml:space="preserve"> (</w:t>
      </w:r>
      <w:proofErr w:type="spellStart"/>
      <w:r w:rsidR="00493076" w:rsidRPr="00E2088D">
        <w:rPr>
          <w:rFonts w:ascii="Times" w:hAnsi="Times"/>
          <w:sz w:val="18"/>
          <w:szCs w:val="20"/>
        </w:rPr>
        <w:t>edited</w:t>
      </w:r>
      <w:proofErr w:type="spellEnd"/>
      <w:r w:rsidR="00493076" w:rsidRPr="00E2088D">
        <w:rPr>
          <w:rFonts w:ascii="Times" w:hAnsi="Times"/>
          <w:sz w:val="18"/>
          <w:szCs w:val="20"/>
        </w:rPr>
        <w:t xml:space="preserve"> by</w:t>
      </w:r>
      <w:r w:rsidRPr="00E2088D">
        <w:rPr>
          <w:rFonts w:ascii="Times" w:hAnsi="Times"/>
          <w:sz w:val="18"/>
          <w:szCs w:val="20"/>
        </w:rPr>
        <w:t xml:space="preserve">), </w:t>
      </w:r>
      <w:r w:rsidRPr="00E2088D">
        <w:rPr>
          <w:rFonts w:ascii="Times" w:hAnsi="Times"/>
          <w:i/>
          <w:iCs/>
          <w:sz w:val="18"/>
          <w:szCs w:val="20"/>
        </w:rPr>
        <w:t>Il bilancio di esercizio. Profili aziendali, giuridici e principi contabili,</w:t>
      </w:r>
      <w:r w:rsidRPr="00E2088D">
        <w:rPr>
          <w:rFonts w:ascii="Times" w:hAnsi="Times"/>
          <w:iCs/>
          <w:sz w:val="18"/>
          <w:szCs w:val="20"/>
        </w:rPr>
        <w:t xml:space="preserve"> </w:t>
      </w:r>
      <w:proofErr w:type="spellStart"/>
      <w:r w:rsidR="00493076" w:rsidRPr="00E2088D">
        <w:rPr>
          <w:rFonts w:ascii="Times" w:hAnsi="Times"/>
          <w:sz w:val="18"/>
          <w:szCs w:val="20"/>
        </w:rPr>
        <w:t>Giuffrè</w:t>
      </w:r>
      <w:proofErr w:type="spellEnd"/>
      <w:r w:rsidR="00493076" w:rsidRPr="00E2088D">
        <w:rPr>
          <w:rFonts w:ascii="Times" w:hAnsi="Times"/>
          <w:sz w:val="18"/>
          <w:szCs w:val="20"/>
        </w:rPr>
        <w:t xml:space="preserve">, Milan, 2016, </w:t>
      </w:r>
      <w:proofErr w:type="spellStart"/>
      <w:r w:rsidR="00493076" w:rsidRPr="00E2088D">
        <w:rPr>
          <w:rFonts w:ascii="Times" w:hAnsi="Times"/>
          <w:sz w:val="18"/>
          <w:szCs w:val="20"/>
        </w:rPr>
        <w:t>ch</w:t>
      </w:r>
      <w:proofErr w:type="spellEnd"/>
      <w:r w:rsidRPr="00E2088D">
        <w:rPr>
          <w:rFonts w:ascii="Times" w:hAnsi="Times"/>
          <w:sz w:val="18"/>
          <w:szCs w:val="20"/>
        </w:rPr>
        <w:t>. VIII.</w:t>
      </w:r>
    </w:p>
    <w:p w14:paraId="258E3606" w14:textId="77777777" w:rsidR="00EA6D3E" w:rsidRPr="00E2088D" w:rsidRDefault="00EA6D3E" w:rsidP="00EA6D3E">
      <w:pPr>
        <w:spacing w:line="220" w:lineRule="exact"/>
        <w:ind w:left="284"/>
        <w:rPr>
          <w:rFonts w:ascii="Times" w:hAnsi="Times"/>
          <w:sz w:val="18"/>
          <w:szCs w:val="20"/>
          <w:lang w:val="en-GB"/>
        </w:rPr>
      </w:pPr>
      <w:r w:rsidRPr="00E2088D">
        <w:rPr>
          <w:rFonts w:ascii="Times" w:hAnsi="Times"/>
          <w:smallCaps/>
          <w:sz w:val="16"/>
          <w:szCs w:val="20"/>
        </w:rPr>
        <w:t xml:space="preserve">F. </w:t>
      </w:r>
      <w:proofErr w:type="spellStart"/>
      <w:r w:rsidRPr="00E2088D">
        <w:rPr>
          <w:rFonts w:ascii="Times" w:hAnsi="Times"/>
          <w:smallCaps/>
          <w:sz w:val="16"/>
          <w:szCs w:val="20"/>
        </w:rPr>
        <w:t>Dezzani</w:t>
      </w:r>
      <w:proofErr w:type="spellEnd"/>
      <w:r w:rsidRPr="00E2088D">
        <w:rPr>
          <w:rFonts w:ascii="Times" w:hAnsi="Times"/>
          <w:smallCaps/>
          <w:sz w:val="16"/>
          <w:szCs w:val="20"/>
        </w:rPr>
        <w:t xml:space="preserve">-P.P. Biancone-D. </w:t>
      </w:r>
      <w:proofErr w:type="spellStart"/>
      <w:r w:rsidRPr="00E2088D">
        <w:rPr>
          <w:rFonts w:ascii="Times" w:hAnsi="Times"/>
          <w:smallCaps/>
          <w:sz w:val="16"/>
          <w:szCs w:val="20"/>
          <w:lang w:val="en-GB"/>
        </w:rPr>
        <w:t>Busso</w:t>
      </w:r>
      <w:proofErr w:type="spellEnd"/>
      <w:r w:rsidRPr="00E2088D">
        <w:rPr>
          <w:rFonts w:ascii="Times" w:hAnsi="Times"/>
          <w:smallCaps/>
          <w:sz w:val="16"/>
          <w:szCs w:val="20"/>
          <w:lang w:val="en-GB"/>
        </w:rPr>
        <w:t xml:space="preserve">, </w:t>
      </w:r>
      <w:r w:rsidRPr="00E2088D">
        <w:rPr>
          <w:rFonts w:ascii="Times" w:hAnsi="Times"/>
          <w:i/>
          <w:sz w:val="18"/>
          <w:szCs w:val="18"/>
          <w:lang w:val="en-GB"/>
        </w:rPr>
        <w:t>IAS/IFRS</w:t>
      </w:r>
      <w:r w:rsidRPr="00E2088D">
        <w:rPr>
          <w:rFonts w:ascii="Times" w:hAnsi="Times"/>
          <w:smallCaps/>
          <w:sz w:val="18"/>
          <w:szCs w:val="18"/>
          <w:lang w:val="en-GB"/>
        </w:rPr>
        <w:t xml:space="preserve">, </w:t>
      </w:r>
      <w:proofErr w:type="spellStart"/>
      <w:r w:rsidRPr="00E2088D">
        <w:rPr>
          <w:rFonts w:eastAsia="Calibri"/>
          <w:sz w:val="18"/>
          <w:szCs w:val="18"/>
          <w:lang w:val="en-GB" w:eastAsia="en-US"/>
        </w:rPr>
        <w:t>Ipsoa</w:t>
      </w:r>
      <w:proofErr w:type="spellEnd"/>
      <w:r w:rsidRPr="00E2088D">
        <w:rPr>
          <w:rFonts w:eastAsia="Calibri"/>
          <w:sz w:val="18"/>
          <w:szCs w:val="18"/>
          <w:lang w:val="en-GB" w:eastAsia="en-US"/>
        </w:rPr>
        <w:t>, 2016, IV edi</w:t>
      </w:r>
      <w:r w:rsidR="00493076" w:rsidRPr="00E2088D">
        <w:rPr>
          <w:rFonts w:eastAsia="Calibri"/>
          <w:sz w:val="18"/>
          <w:szCs w:val="18"/>
          <w:lang w:val="en-GB" w:eastAsia="en-US"/>
        </w:rPr>
        <w:t>tion</w:t>
      </w:r>
      <w:r w:rsidRPr="00E2088D">
        <w:rPr>
          <w:rFonts w:eastAsia="Calibri"/>
          <w:sz w:val="18"/>
          <w:szCs w:val="18"/>
          <w:lang w:val="en-GB" w:eastAsia="en-US"/>
        </w:rPr>
        <w:t>, 2016</w:t>
      </w:r>
      <w:r w:rsidRPr="00E2088D">
        <w:rPr>
          <w:rFonts w:ascii="Times" w:hAnsi="Times"/>
          <w:smallCaps/>
          <w:sz w:val="18"/>
          <w:szCs w:val="18"/>
          <w:lang w:val="en-GB"/>
        </w:rPr>
        <w:t>.</w:t>
      </w:r>
      <w:r w:rsidRPr="00E2088D">
        <w:rPr>
          <w:rFonts w:ascii="Times" w:hAnsi="Times"/>
          <w:smallCaps/>
          <w:sz w:val="16"/>
          <w:szCs w:val="20"/>
          <w:lang w:val="en-GB"/>
        </w:rPr>
        <w:t xml:space="preserve"> </w:t>
      </w:r>
    </w:p>
    <w:p w14:paraId="5BBB3F99" w14:textId="77777777" w:rsidR="00035B35" w:rsidRPr="00E2088D" w:rsidRDefault="008D3398" w:rsidP="008D3398">
      <w:pPr>
        <w:pStyle w:val="Testo1"/>
        <w:ind w:left="0" w:firstLine="284"/>
        <w:rPr>
          <w:noProof w:val="0"/>
          <w:lang w:val="en-GB"/>
        </w:rPr>
      </w:pPr>
      <w:r w:rsidRPr="00E2088D">
        <w:rPr>
          <w:noProof w:val="0"/>
          <w:lang w:val="en-GB"/>
        </w:rPr>
        <w:t>Additional reading references as well as information about stud</w:t>
      </w:r>
      <w:r w:rsidR="00171687" w:rsidRPr="00E2088D">
        <w:rPr>
          <w:noProof w:val="0"/>
          <w:lang w:val="en-GB"/>
        </w:rPr>
        <w:t>y materials to be used (incl</w:t>
      </w:r>
      <w:r w:rsidRPr="00E2088D">
        <w:rPr>
          <w:noProof w:val="0"/>
          <w:lang w:val="en-GB"/>
        </w:rPr>
        <w:t>u</w:t>
      </w:r>
      <w:r w:rsidR="00171687" w:rsidRPr="00E2088D">
        <w:rPr>
          <w:noProof w:val="0"/>
          <w:lang w:val="en-GB"/>
        </w:rPr>
        <w:t>d</w:t>
      </w:r>
      <w:r w:rsidRPr="00E2088D">
        <w:rPr>
          <w:noProof w:val="0"/>
          <w:lang w:val="en-GB"/>
        </w:rPr>
        <w:t xml:space="preserve">ing </w:t>
      </w:r>
      <w:r w:rsidR="006C3D2B" w:rsidRPr="00E2088D">
        <w:rPr>
          <w:noProof w:val="0"/>
          <w:lang w:val="en-GB"/>
        </w:rPr>
        <w:t>the</w:t>
      </w:r>
      <w:r w:rsidR="00035B35" w:rsidRPr="00E2088D">
        <w:rPr>
          <w:noProof w:val="0"/>
          <w:lang w:val="en-GB"/>
        </w:rPr>
        <w:t xml:space="preserve"> IAS/IFRS</w:t>
      </w:r>
      <w:r w:rsidR="006C3D2B" w:rsidRPr="00E2088D">
        <w:rPr>
          <w:noProof w:val="0"/>
          <w:lang w:val="en-GB"/>
        </w:rPr>
        <w:t xml:space="preserve"> and </w:t>
      </w:r>
      <w:r w:rsidR="00035B35" w:rsidRPr="00E2088D">
        <w:rPr>
          <w:noProof w:val="0"/>
          <w:lang w:val="en-GB"/>
        </w:rPr>
        <w:t>OIC</w:t>
      </w:r>
      <w:r w:rsidRPr="00E2088D">
        <w:rPr>
          <w:noProof w:val="0"/>
          <w:lang w:val="en-GB"/>
        </w:rPr>
        <w:t xml:space="preserve"> documents)</w:t>
      </w:r>
      <w:r w:rsidR="00CD5986" w:rsidRPr="00E2088D">
        <w:rPr>
          <w:noProof w:val="0"/>
          <w:lang w:val="en-GB"/>
        </w:rPr>
        <w:t xml:space="preserve"> </w:t>
      </w:r>
      <w:r w:rsidRPr="00E2088D">
        <w:rPr>
          <w:noProof w:val="0"/>
          <w:lang w:val="en-GB"/>
        </w:rPr>
        <w:t>will be provided to the students throughout the course</w:t>
      </w:r>
      <w:r w:rsidR="00035B35" w:rsidRPr="00E2088D">
        <w:rPr>
          <w:noProof w:val="0"/>
          <w:lang w:val="en-GB"/>
        </w:rPr>
        <w:t>.</w:t>
      </w:r>
    </w:p>
    <w:p w14:paraId="3983ABFF" w14:textId="77777777" w:rsidR="00000AD1" w:rsidRPr="00E2088D" w:rsidRDefault="006C3D2B" w:rsidP="00490A2A">
      <w:pPr>
        <w:spacing w:before="240" w:after="120" w:line="220" w:lineRule="exact"/>
        <w:ind w:firstLine="0"/>
        <w:rPr>
          <w:b/>
          <w:i/>
          <w:sz w:val="18"/>
          <w:lang w:val="en-GB"/>
        </w:rPr>
      </w:pPr>
      <w:r w:rsidRPr="00E2088D">
        <w:rPr>
          <w:b/>
          <w:i/>
          <w:sz w:val="18"/>
          <w:lang w:val="en-GB"/>
        </w:rPr>
        <w:t>TEACHING METHOD</w:t>
      </w:r>
    </w:p>
    <w:p w14:paraId="0B6A2032" w14:textId="71F048C2" w:rsidR="00035B35" w:rsidRPr="00E2088D" w:rsidRDefault="008D3398" w:rsidP="008D3398">
      <w:pPr>
        <w:pStyle w:val="Testo2"/>
        <w:rPr>
          <w:noProof w:val="0"/>
          <w:lang w:val="en-GB"/>
        </w:rPr>
      </w:pPr>
      <w:r w:rsidRPr="00E2088D">
        <w:rPr>
          <w:noProof w:val="0"/>
          <w:lang w:val="en-GB"/>
        </w:rPr>
        <w:lastRenderedPageBreak/>
        <w:t>Interactive l</w:t>
      </w:r>
      <w:r w:rsidR="006C3D2B" w:rsidRPr="00E2088D">
        <w:rPr>
          <w:noProof w:val="0"/>
          <w:lang w:val="en-GB"/>
        </w:rPr>
        <w:t>ectures</w:t>
      </w:r>
      <w:r w:rsidR="00035B35" w:rsidRPr="00E2088D">
        <w:rPr>
          <w:noProof w:val="0"/>
          <w:lang w:val="en-GB"/>
        </w:rPr>
        <w:t xml:space="preserve"> </w:t>
      </w:r>
      <w:r w:rsidR="001261DC" w:rsidRPr="00E2088D">
        <w:rPr>
          <w:noProof w:val="0"/>
          <w:lang w:val="en-GB"/>
        </w:rPr>
        <w:t xml:space="preserve">and </w:t>
      </w:r>
      <w:r w:rsidR="002F20B5" w:rsidRPr="00E2088D">
        <w:rPr>
          <w:noProof w:val="0"/>
          <w:lang w:val="en-GB"/>
        </w:rPr>
        <w:t>development of some business issues</w:t>
      </w:r>
      <w:r w:rsidR="000E342F" w:rsidRPr="00E2088D">
        <w:rPr>
          <w:noProof w:val="0"/>
          <w:lang w:val="en-GB"/>
        </w:rPr>
        <w:t xml:space="preserve"> </w:t>
      </w:r>
      <w:r w:rsidRPr="00E2088D">
        <w:rPr>
          <w:noProof w:val="0"/>
          <w:lang w:val="en-GB"/>
        </w:rPr>
        <w:t xml:space="preserve">will be supplemented by a series of </w:t>
      </w:r>
      <w:r w:rsidR="006C3D2B" w:rsidRPr="00E2088D">
        <w:rPr>
          <w:noProof w:val="0"/>
          <w:lang w:val="en-GB"/>
        </w:rPr>
        <w:t>assignments</w:t>
      </w:r>
      <w:r w:rsidR="00035B35" w:rsidRPr="00E2088D">
        <w:rPr>
          <w:noProof w:val="0"/>
          <w:lang w:val="en-GB"/>
        </w:rPr>
        <w:t xml:space="preserve"> </w:t>
      </w:r>
      <w:r w:rsidRPr="00E2088D">
        <w:rPr>
          <w:noProof w:val="0"/>
          <w:lang w:val="en-GB"/>
        </w:rPr>
        <w:t>referring to the techniques for preparing consolidated financial statements</w:t>
      </w:r>
      <w:r w:rsidR="00035B35" w:rsidRPr="00E2088D">
        <w:rPr>
          <w:noProof w:val="0"/>
          <w:lang w:val="en-GB"/>
        </w:rPr>
        <w:t>.</w:t>
      </w:r>
    </w:p>
    <w:p w14:paraId="0161C761" w14:textId="77777777" w:rsidR="00035B35" w:rsidRPr="00E2088D" w:rsidRDefault="008D3398" w:rsidP="008D3398">
      <w:pPr>
        <w:pStyle w:val="Testo2"/>
        <w:rPr>
          <w:noProof w:val="0"/>
          <w:lang w:val="en-GB"/>
        </w:rPr>
      </w:pPr>
      <w:r w:rsidRPr="00E2088D">
        <w:rPr>
          <w:noProof w:val="0"/>
          <w:lang w:val="en-GB"/>
        </w:rPr>
        <w:t>Class presentations by corporate managers are also planned.</w:t>
      </w:r>
      <w:r w:rsidR="00035B35" w:rsidRPr="00E2088D">
        <w:rPr>
          <w:noProof w:val="0"/>
          <w:lang w:val="en-GB"/>
        </w:rPr>
        <w:t xml:space="preserve"> </w:t>
      </w:r>
    </w:p>
    <w:p w14:paraId="09CFEAFC" w14:textId="1DF14F7D" w:rsidR="00244518" w:rsidRPr="00E2088D" w:rsidRDefault="00D61528" w:rsidP="00244518">
      <w:pPr>
        <w:tabs>
          <w:tab w:val="left" w:pos="284"/>
        </w:tabs>
        <w:spacing w:line="220" w:lineRule="exact"/>
        <w:ind w:firstLine="284"/>
        <w:rPr>
          <w:rFonts w:ascii="Times" w:hAnsi="Times"/>
          <w:sz w:val="18"/>
          <w:szCs w:val="20"/>
          <w:lang w:val="en-GB"/>
        </w:rPr>
      </w:pPr>
      <w:r w:rsidRPr="00E2088D">
        <w:rPr>
          <w:rFonts w:ascii="Times" w:hAnsi="Times"/>
          <w:sz w:val="18"/>
          <w:szCs w:val="20"/>
          <w:lang w:val="en-GB"/>
        </w:rPr>
        <w:t xml:space="preserve">Lessons and </w:t>
      </w:r>
      <w:r w:rsidR="008F63E8" w:rsidRPr="00E2088D">
        <w:rPr>
          <w:rFonts w:ascii="Times" w:hAnsi="Times"/>
          <w:sz w:val="18"/>
          <w:szCs w:val="20"/>
          <w:lang w:val="en-GB"/>
        </w:rPr>
        <w:t xml:space="preserve">practical </w:t>
      </w:r>
      <w:r w:rsidRPr="00E2088D">
        <w:rPr>
          <w:rFonts w:ascii="Times" w:hAnsi="Times"/>
          <w:sz w:val="18"/>
          <w:szCs w:val="20"/>
          <w:lang w:val="en-GB"/>
        </w:rPr>
        <w:t>exercises are carried out with the aid of slides and other supporting material. The slides are made available to students through the Blackboard platform before each lesson</w:t>
      </w:r>
      <w:r w:rsidR="00244518" w:rsidRPr="00E2088D">
        <w:rPr>
          <w:rFonts w:ascii="Times" w:hAnsi="Times"/>
          <w:sz w:val="18"/>
          <w:szCs w:val="20"/>
          <w:lang w:val="en-GB"/>
        </w:rPr>
        <w:t>.</w:t>
      </w:r>
    </w:p>
    <w:p w14:paraId="1F2A83F8" w14:textId="77777777" w:rsidR="00035B35" w:rsidRPr="00E2088D" w:rsidRDefault="008D3398" w:rsidP="008D3398">
      <w:pPr>
        <w:pStyle w:val="Testo2"/>
        <w:rPr>
          <w:noProof w:val="0"/>
          <w:lang w:val="en-GB"/>
        </w:rPr>
      </w:pPr>
      <w:r w:rsidRPr="00E2088D">
        <w:rPr>
          <w:noProof w:val="0"/>
          <w:lang w:val="en-GB"/>
        </w:rPr>
        <w:t>Regular class attendance and completion of the assignments are considered essential for enabling the student to pass the course.</w:t>
      </w:r>
    </w:p>
    <w:p w14:paraId="0469A7D8" w14:textId="77777777" w:rsidR="00244518" w:rsidRPr="00E2088D" w:rsidRDefault="00244518" w:rsidP="00244518">
      <w:pPr>
        <w:spacing w:before="240" w:after="120" w:line="220" w:lineRule="exact"/>
        <w:ind w:firstLine="0"/>
        <w:rPr>
          <w:b/>
          <w:i/>
          <w:sz w:val="18"/>
          <w:lang w:val="en-GB"/>
        </w:rPr>
      </w:pPr>
      <w:r w:rsidRPr="00E2088D">
        <w:rPr>
          <w:b/>
          <w:i/>
          <w:sz w:val="18"/>
          <w:lang w:val="en-GB"/>
        </w:rPr>
        <w:t>ASSESSMENT METHOD AND CRITERIA</w:t>
      </w:r>
    </w:p>
    <w:p w14:paraId="598DEFF9" w14:textId="2A243E47" w:rsidR="00244518" w:rsidRPr="00E2088D" w:rsidRDefault="00D61528" w:rsidP="00244518">
      <w:pPr>
        <w:tabs>
          <w:tab w:val="left" w:pos="284"/>
        </w:tabs>
        <w:spacing w:line="220" w:lineRule="exact"/>
        <w:ind w:firstLine="284"/>
        <w:rPr>
          <w:rFonts w:ascii="Times" w:hAnsi="Times"/>
          <w:sz w:val="18"/>
          <w:szCs w:val="20"/>
          <w:lang w:val="en-GB"/>
        </w:rPr>
      </w:pPr>
      <w:r w:rsidRPr="00E2088D">
        <w:rPr>
          <w:rFonts w:ascii="Times" w:hAnsi="Times"/>
          <w:sz w:val="18"/>
          <w:szCs w:val="20"/>
          <w:lang w:val="en-GB"/>
        </w:rPr>
        <w:t>The exam is written</w:t>
      </w:r>
      <w:r w:rsidR="008F63E8" w:rsidRPr="00E2088D">
        <w:rPr>
          <w:rFonts w:ascii="Times" w:hAnsi="Times"/>
          <w:sz w:val="18"/>
          <w:szCs w:val="20"/>
          <w:lang w:val="en-GB"/>
        </w:rPr>
        <w:t xml:space="preserve"> and includes </w:t>
      </w:r>
      <w:r w:rsidRPr="00E2088D">
        <w:rPr>
          <w:rFonts w:ascii="Times" w:hAnsi="Times"/>
          <w:sz w:val="18"/>
          <w:szCs w:val="20"/>
          <w:lang w:val="en-GB"/>
        </w:rPr>
        <w:t>three questions. The first question</w:t>
      </w:r>
      <w:r w:rsidR="008F63E8" w:rsidRPr="00E2088D">
        <w:rPr>
          <w:rFonts w:ascii="Times" w:hAnsi="Times"/>
          <w:sz w:val="18"/>
          <w:szCs w:val="20"/>
          <w:lang w:val="en-GB"/>
        </w:rPr>
        <w:t xml:space="preserve"> (the passing of which</w:t>
      </w:r>
      <w:r w:rsidRPr="00E2088D">
        <w:rPr>
          <w:rFonts w:ascii="Times" w:hAnsi="Times"/>
          <w:sz w:val="18"/>
          <w:szCs w:val="20"/>
          <w:lang w:val="en-GB"/>
        </w:rPr>
        <w:t xml:space="preserve"> is a necessary condition for the correction of the other two</w:t>
      </w:r>
      <w:r w:rsidR="008F63E8" w:rsidRPr="00E2088D">
        <w:rPr>
          <w:rFonts w:ascii="Times" w:hAnsi="Times"/>
          <w:sz w:val="18"/>
          <w:szCs w:val="20"/>
          <w:lang w:val="en-GB"/>
        </w:rPr>
        <w:t>)</w:t>
      </w:r>
      <w:r w:rsidRPr="00E2088D">
        <w:rPr>
          <w:rFonts w:ascii="Times" w:hAnsi="Times"/>
          <w:sz w:val="18"/>
          <w:szCs w:val="20"/>
          <w:lang w:val="en-GB"/>
        </w:rPr>
        <w:t xml:space="preserve">, </w:t>
      </w:r>
      <w:r w:rsidR="008F63E8" w:rsidRPr="00E2088D">
        <w:rPr>
          <w:rFonts w:ascii="Times" w:hAnsi="Times"/>
          <w:sz w:val="18"/>
          <w:szCs w:val="20"/>
          <w:lang w:val="en-GB"/>
        </w:rPr>
        <w:t xml:space="preserve">consists of </w:t>
      </w:r>
      <w:r w:rsidRPr="00E2088D">
        <w:rPr>
          <w:rFonts w:ascii="Times" w:hAnsi="Times"/>
          <w:sz w:val="18"/>
          <w:szCs w:val="20"/>
          <w:lang w:val="en-GB"/>
        </w:rPr>
        <w:t xml:space="preserve">an exercise </w:t>
      </w:r>
      <w:r w:rsidR="008F63E8" w:rsidRPr="00E2088D">
        <w:rPr>
          <w:rFonts w:ascii="Times" w:hAnsi="Times"/>
          <w:sz w:val="18"/>
          <w:szCs w:val="20"/>
          <w:lang w:val="en-GB"/>
        </w:rPr>
        <w:t>on</w:t>
      </w:r>
      <w:r w:rsidRPr="00E2088D">
        <w:rPr>
          <w:rFonts w:ascii="Times" w:hAnsi="Times"/>
          <w:sz w:val="18"/>
          <w:szCs w:val="20"/>
          <w:lang w:val="en-GB"/>
        </w:rPr>
        <w:t xml:space="preserve"> the construction of the group's consolidated </w:t>
      </w:r>
      <w:r w:rsidR="00634F35" w:rsidRPr="00E2088D">
        <w:rPr>
          <w:rFonts w:ascii="Times" w:hAnsi="Times"/>
          <w:sz w:val="18"/>
          <w:szCs w:val="20"/>
          <w:lang w:val="en-GB"/>
        </w:rPr>
        <w:t>account</w:t>
      </w:r>
      <w:r w:rsidRPr="00E2088D">
        <w:rPr>
          <w:rFonts w:ascii="Times" w:hAnsi="Times"/>
          <w:sz w:val="18"/>
          <w:szCs w:val="20"/>
          <w:lang w:val="en-GB"/>
        </w:rPr>
        <w:t xml:space="preserve">, according to point 2 of the </w:t>
      </w:r>
      <w:r w:rsidR="008F63E8" w:rsidRPr="00E2088D">
        <w:rPr>
          <w:rFonts w:ascii="Times" w:hAnsi="Times"/>
          <w:sz w:val="18"/>
          <w:szCs w:val="20"/>
          <w:lang w:val="en-GB"/>
        </w:rPr>
        <w:t>course content</w:t>
      </w:r>
      <w:r w:rsidR="005C568F" w:rsidRPr="00E2088D">
        <w:rPr>
          <w:rFonts w:ascii="Times" w:hAnsi="Times"/>
          <w:sz w:val="18"/>
          <w:szCs w:val="20"/>
          <w:lang w:val="en-GB"/>
        </w:rPr>
        <w:t>s</w:t>
      </w:r>
      <w:r w:rsidRPr="00E2088D">
        <w:rPr>
          <w:rFonts w:ascii="Times" w:hAnsi="Times"/>
          <w:sz w:val="18"/>
          <w:szCs w:val="20"/>
          <w:lang w:val="en-GB"/>
        </w:rPr>
        <w:t xml:space="preserve">. The other two questions are aimed at verifying the level of knowledge acquired on both general and applicative aspects relating to points 1, 3, 4 and 5 of the </w:t>
      </w:r>
      <w:r w:rsidR="008F63E8" w:rsidRPr="00E2088D">
        <w:rPr>
          <w:rFonts w:ascii="Times" w:hAnsi="Times"/>
          <w:sz w:val="18"/>
          <w:szCs w:val="20"/>
          <w:lang w:val="en-GB"/>
        </w:rPr>
        <w:t xml:space="preserve">course </w:t>
      </w:r>
      <w:r w:rsidR="005C568F" w:rsidRPr="00E2088D">
        <w:rPr>
          <w:rFonts w:ascii="Times" w:hAnsi="Times"/>
          <w:sz w:val="18"/>
          <w:szCs w:val="20"/>
          <w:lang w:val="en-GB"/>
        </w:rPr>
        <w:t>contents</w:t>
      </w:r>
      <w:r w:rsidR="00244518" w:rsidRPr="00E2088D">
        <w:rPr>
          <w:rFonts w:ascii="Times" w:hAnsi="Times"/>
          <w:sz w:val="18"/>
          <w:szCs w:val="20"/>
          <w:lang w:val="en-GB"/>
        </w:rPr>
        <w:t xml:space="preserve">. </w:t>
      </w:r>
    </w:p>
    <w:p w14:paraId="353C0949" w14:textId="15E0F629" w:rsidR="00244518" w:rsidRPr="00E2088D" w:rsidRDefault="008F63E8" w:rsidP="00244518">
      <w:pPr>
        <w:tabs>
          <w:tab w:val="left" w:pos="284"/>
        </w:tabs>
        <w:spacing w:line="220" w:lineRule="exact"/>
        <w:ind w:firstLine="284"/>
        <w:rPr>
          <w:rFonts w:ascii="Times" w:hAnsi="Times"/>
          <w:sz w:val="18"/>
          <w:szCs w:val="20"/>
          <w:lang w:val="en-GB"/>
        </w:rPr>
      </w:pPr>
      <w:r w:rsidRPr="00E2088D">
        <w:rPr>
          <w:rFonts w:ascii="Times" w:hAnsi="Times"/>
          <w:sz w:val="18"/>
          <w:szCs w:val="20"/>
          <w:lang w:val="en-GB"/>
        </w:rPr>
        <w:t>S</w:t>
      </w:r>
      <w:r w:rsidR="00D61528" w:rsidRPr="00E2088D">
        <w:rPr>
          <w:rFonts w:ascii="Times" w:hAnsi="Times"/>
          <w:sz w:val="18"/>
          <w:szCs w:val="20"/>
          <w:lang w:val="en-GB"/>
        </w:rPr>
        <w:t>tudent</w:t>
      </w:r>
      <w:r w:rsidRPr="00E2088D">
        <w:rPr>
          <w:rFonts w:ascii="Times" w:hAnsi="Times"/>
          <w:sz w:val="18"/>
          <w:szCs w:val="20"/>
          <w:lang w:val="en-GB"/>
        </w:rPr>
        <w:t xml:space="preserve">s </w:t>
      </w:r>
      <w:r w:rsidR="00D61528" w:rsidRPr="00E2088D">
        <w:rPr>
          <w:rFonts w:ascii="Times" w:hAnsi="Times"/>
          <w:sz w:val="18"/>
          <w:szCs w:val="20"/>
          <w:lang w:val="en-GB"/>
        </w:rPr>
        <w:t xml:space="preserve">pass the test if </w:t>
      </w:r>
      <w:r w:rsidRPr="00E2088D">
        <w:rPr>
          <w:rFonts w:ascii="Times" w:hAnsi="Times"/>
          <w:sz w:val="18"/>
          <w:szCs w:val="20"/>
          <w:lang w:val="en-GB"/>
        </w:rPr>
        <w:t>they</w:t>
      </w:r>
      <w:r w:rsidR="00D61528" w:rsidRPr="00E2088D">
        <w:rPr>
          <w:rFonts w:ascii="Times" w:hAnsi="Times"/>
          <w:sz w:val="18"/>
          <w:szCs w:val="20"/>
          <w:lang w:val="en-GB"/>
        </w:rPr>
        <w:t xml:space="preserve"> achieve, in any case, a score of at least 18/30 in each of the 3 questions</w:t>
      </w:r>
      <w:r w:rsidR="00244518" w:rsidRPr="00E2088D">
        <w:rPr>
          <w:rFonts w:ascii="Times" w:hAnsi="Times"/>
          <w:sz w:val="18"/>
          <w:szCs w:val="20"/>
          <w:lang w:val="en-GB"/>
        </w:rPr>
        <w:t>.</w:t>
      </w:r>
    </w:p>
    <w:p w14:paraId="5B3D0996" w14:textId="2051500D" w:rsidR="00244518" w:rsidRPr="00E2088D" w:rsidRDefault="00D61528" w:rsidP="00244518">
      <w:pPr>
        <w:tabs>
          <w:tab w:val="left" w:pos="284"/>
        </w:tabs>
        <w:spacing w:line="220" w:lineRule="exact"/>
        <w:ind w:firstLine="284"/>
        <w:rPr>
          <w:rFonts w:ascii="Times" w:hAnsi="Times"/>
          <w:sz w:val="18"/>
          <w:szCs w:val="20"/>
          <w:lang w:val="en-GB"/>
        </w:rPr>
      </w:pPr>
      <w:r w:rsidRPr="00E2088D">
        <w:rPr>
          <w:rFonts w:ascii="Times" w:hAnsi="Times"/>
          <w:sz w:val="18"/>
          <w:szCs w:val="20"/>
          <w:lang w:val="en-GB"/>
        </w:rPr>
        <w:t>The oral exam can be: a) requested by student</w:t>
      </w:r>
      <w:r w:rsidR="00C216F6" w:rsidRPr="00E2088D">
        <w:rPr>
          <w:rFonts w:ascii="Times" w:hAnsi="Times"/>
          <w:sz w:val="18"/>
          <w:szCs w:val="20"/>
          <w:lang w:val="en-GB"/>
        </w:rPr>
        <w:t>s</w:t>
      </w:r>
      <w:r w:rsidRPr="00E2088D">
        <w:rPr>
          <w:rFonts w:ascii="Times" w:hAnsi="Times"/>
          <w:sz w:val="18"/>
          <w:szCs w:val="20"/>
          <w:lang w:val="en-GB"/>
        </w:rPr>
        <w:t xml:space="preserve"> who ha</w:t>
      </w:r>
      <w:r w:rsidR="00C216F6" w:rsidRPr="00E2088D">
        <w:rPr>
          <w:rFonts w:ascii="Times" w:hAnsi="Times"/>
          <w:sz w:val="18"/>
          <w:szCs w:val="20"/>
          <w:lang w:val="en-GB"/>
        </w:rPr>
        <w:t>ve</w:t>
      </w:r>
      <w:r w:rsidRPr="00E2088D">
        <w:rPr>
          <w:rFonts w:ascii="Times" w:hAnsi="Times"/>
          <w:sz w:val="18"/>
          <w:szCs w:val="20"/>
          <w:lang w:val="en-GB"/>
        </w:rPr>
        <w:t xml:space="preserve"> passed the final written test, in </w:t>
      </w:r>
      <w:r w:rsidR="00C216F6" w:rsidRPr="00E2088D">
        <w:rPr>
          <w:rFonts w:ascii="Times" w:hAnsi="Times"/>
          <w:sz w:val="18"/>
          <w:szCs w:val="20"/>
          <w:lang w:val="en-GB"/>
        </w:rPr>
        <w:t>case</w:t>
      </w:r>
      <w:r w:rsidRPr="00E2088D">
        <w:rPr>
          <w:rFonts w:ascii="Times" w:hAnsi="Times"/>
          <w:sz w:val="18"/>
          <w:szCs w:val="20"/>
          <w:lang w:val="en-GB"/>
        </w:rPr>
        <w:t xml:space="preserve"> </w:t>
      </w:r>
      <w:r w:rsidR="00C216F6" w:rsidRPr="00E2088D">
        <w:rPr>
          <w:rFonts w:ascii="Times" w:hAnsi="Times"/>
          <w:sz w:val="18"/>
          <w:szCs w:val="20"/>
          <w:lang w:val="en-GB"/>
        </w:rPr>
        <w:t>they</w:t>
      </w:r>
      <w:r w:rsidRPr="00E2088D">
        <w:rPr>
          <w:rFonts w:ascii="Times" w:hAnsi="Times"/>
          <w:sz w:val="18"/>
          <w:szCs w:val="20"/>
          <w:lang w:val="en-GB"/>
        </w:rPr>
        <w:t xml:space="preserve"> believe that </w:t>
      </w:r>
      <w:r w:rsidR="00C216F6" w:rsidRPr="00E2088D">
        <w:rPr>
          <w:rFonts w:ascii="Times" w:hAnsi="Times"/>
          <w:sz w:val="18"/>
          <w:szCs w:val="20"/>
          <w:lang w:val="en-GB"/>
        </w:rPr>
        <w:t>their</w:t>
      </w:r>
      <w:r w:rsidRPr="00E2088D">
        <w:rPr>
          <w:rFonts w:ascii="Times" w:hAnsi="Times"/>
          <w:sz w:val="18"/>
          <w:szCs w:val="20"/>
          <w:lang w:val="en-GB"/>
        </w:rPr>
        <w:t xml:space="preserve"> preparation </w:t>
      </w:r>
      <w:r w:rsidR="00C216F6" w:rsidRPr="00E2088D">
        <w:rPr>
          <w:rFonts w:ascii="Times" w:hAnsi="Times"/>
          <w:sz w:val="18"/>
          <w:szCs w:val="20"/>
          <w:lang w:val="en-GB"/>
        </w:rPr>
        <w:t>does not correspond to</w:t>
      </w:r>
      <w:r w:rsidRPr="00E2088D">
        <w:rPr>
          <w:rFonts w:ascii="Times" w:hAnsi="Times"/>
          <w:sz w:val="18"/>
          <w:szCs w:val="20"/>
          <w:lang w:val="en-GB"/>
        </w:rPr>
        <w:t xml:space="preserve"> the </w:t>
      </w:r>
      <w:r w:rsidR="00C216F6" w:rsidRPr="00E2088D">
        <w:rPr>
          <w:rFonts w:ascii="Times" w:hAnsi="Times"/>
          <w:sz w:val="18"/>
          <w:szCs w:val="20"/>
          <w:lang w:val="en-GB"/>
        </w:rPr>
        <w:t>test outcomes</w:t>
      </w:r>
      <w:r w:rsidRPr="00E2088D">
        <w:rPr>
          <w:rFonts w:ascii="Times" w:hAnsi="Times"/>
          <w:sz w:val="18"/>
          <w:szCs w:val="20"/>
          <w:lang w:val="en-GB"/>
        </w:rPr>
        <w:t xml:space="preserve">; b) requested by the </w:t>
      </w:r>
      <w:r w:rsidR="00C216F6" w:rsidRPr="00E2088D">
        <w:rPr>
          <w:rFonts w:ascii="Times" w:hAnsi="Times"/>
          <w:sz w:val="18"/>
          <w:szCs w:val="20"/>
          <w:lang w:val="en-GB"/>
        </w:rPr>
        <w:t>lecturers</w:t>
      </w:r>
      <w:r w:rsidR="00244518" w:rsidRPr="00E2088D">
        <w:rPr>
          <w:rFonts w:ascii="Times" w:hAnsi="Times"/>
          <w:sz w:val="18"/>
          <w:szCs w:val="20"/>
          <w:lang w:val="en-GB"/>
        </w:rPr>
        <w:t>.</w:t>
      </w:r>
    </w:p>
    <w:p w14:paraId="28C787B9" w14:textId="77777777" w:rsidR="00244518" w:rsidRPr="00E2088D" w:rsidRDefault="00244518" w:rsidP="00244518">
      <w:pPr>
        <w:spacing w:before="240" w:after="120"/>
        <w:ind w:firstLine="0"/>
        <w:rPr>
          <w:b/>
          <w:i/>
          <w:sz w:val="18"/>
          <w:lang w:val="en-GB"/>
        </w:rPr>
      </w:pPr>
      <w:r w:rsidRPr="00E2088D">
        <w:rPr>
          <w:b/>
          <w:i/>
          <w:sz w:val="18"/>
          <w:lang w:val="en-GB"/>
        </w:rPr>
        <w:t>NOTES AND PREREQUISITES</w:t>
      </w:r>
    </w:p>
    <w:p w14:paraId="32D268ED" w14:textId="1C2F2443" w:rsidR="00AE7801" w:rsidRPr="00E2088D" w:rsidRDefault="00BF40CF" w:rsidP="00AE7801">
      <w:pPr>
        <w:ind w:left="284"/>
        <w:rPr>
          <w:sz w:val="18"/>
          <w:lang w:val="en-GB"/>
        </w:rPr>
      </w:pPr>
      <w:r w:rsidRPr="00E2088D">
        <w:rPr>
          <w:sz w:val="18"/>
          <w:lang w:val="en-GB"/>
        </w:rPr>
        <w:t>S</w:t>
      </w:r>
      <w:r w:rsidR="0040279B" w:rsidRPr="00E2088D">
        <w:rPr>
          <w:sz w:val="18"/>
          <w:lang w:val="en-GB"/>
        </w:rPr>
        <w:t>tudent</w:t>
      </w:r>
      <w:r w:rsidRPr="00E2088D">
        <w:rPr>
          <w:sz w:val="18"/>
          <w:lang w:val="en-GB"/>
        </w:rPr>
        <w:t>s</w:t>
      </w:r>
      <w:r w:rsidR="0040279B" w:rsidRPr="00E2088D">
        <w:rPr>
          <w:sz w:val="18"/>
          <w:lang w:val="en-GB"/>
        </w:rPr>
        <w:t xml:space="preserve"> should have adequate knowledge of</w:t>
      </w:r>
      <w:r w:rsidR="00AE7801" w:rsidRPr="00E2088D">
        <w:rPr>
          <w:sz w:val="18"/>
          <w:lang w:val="en-GB"/>
        </w:rPr>
        <w:t>:</w:t>
      </w:r>
    </w:p>
    <w:p w14:paraId="4D1012FB" w14:textId="3894624B" w:rsidR="00AE7801" w:rsidRPr="00E2088D" w:rsidRDefault="00AE7801" w:rsidP="00AE7801">
      <w:pPr>
        <w:spacing w:line="240" w:lineRule="exact"/>
        <w:ind w:left="284"/>
        <w:rPr>
          <w:sz w:val="18"/>
          <w:lang w:val="en-GB"/>
        </w:rPr>
      </w:pPr>
      <w:r w:rsidRPr="00E2088D">
        <w:rPr>
          <w:sz w:val="18"/>
          <w:lang w:val="en-GB"/>
        </w:rPr>
        <w:t>–</w:t>
      </w:r>
      <w:r w:rsidRPr="00E2088D">
        <w:rPr>
          <w:sz w:val="18"/>
          <w:lang w:val="en-GB"/>
        </w:rPr>
        <w:tab/>
      </w:r>
      <w:r w:rsidR="0040279B" w:rsidRPr="00E2088D">
        <w:rPr>
          <w:sz w:val="18"/>
          <w:lang w:val="en-GB"/>
        </w:rPr>
        <w:t>the fundamental principles of business management (from an institutional, strategic and organi</w:t>
      </w:r>
      <w:r w:rsidR="00BF40CF" w:rsidRPr="00E2088D">
        <w:rPr>
          <w:sz w:val="18"/>
          <w:lang w:val="en-GB"/>
        </w:rPr>
        <w:t>s</w:t>
      </w:r>
      <w:r w:rsidR="0040279B" w:rsidRPr="00E2088D">
        <w:rPr>
          <w:sz w:val="18"/>
          <w:lang w:val="en-GB"/>
        </w:rPr>
        <w:t xml:space="preserve">ational point of view); </w:t>
      </w:r>
    </w:p>
    <w:p w14:paraId="7CB4FA93" w14:textId="7BD6BAA7" w:rsidR="00AE7801" w:rsidRPr="00E2088D" w:rsidRDefault="00AE7801" w:rsidP="00AE7801">
      <w:pPr>
        <w:spacing w:line="240" w:lineRule="exact"/>
        <w:ind w:left="284"/>
        <w:rPr>
          <w:sz w:val="18"/>
          <w:lang w:val="en-GB"/>
        </w:rPr>
      </w:pPr>
      <w:r w:rsidRPr="00E2088D">
        <w:rPr>
          <w:sz w:val="18"/>
          <w:lang w:val="en-GB"/>
        </w:rPr>
        <w:t>–</w:t>
      </w:r>
      <w:r w:rsidRPr="00E2088D">
        <w:rPr>
          <w:sz w:val="18"/>
          <w:lang w:val="en-GB"/>
        </w:rPr>
        <w:tab/>
      </w:r>
      <w:r w:rsidR="0040279B" w:rsidRPr="00E2088D">
        <w:rPr>
          <w:sz w:val="18"/>
          <w:lang w:val="en-GB"/>
        </w:rPr>
        <w:t>the accounting model, i.e. the process of recogni</w:t>
      </w:r>
      <w:r w:rsidR="001D610B" w:rsidRPr="00E2088D">
        <w:rPr>
          <w:sz w:val="18"/>
          <w:lang w:val="en-GB"/>
        </w:rPr>
        <w:t>s</w:t>
      </w:r>
      <w:r w:rsidR="0040279B" w:rsidRPr="00E2088D">
        <w:rPr>
          <w:sz w:val="18"/>
          <w:lang w:val="en-GB"/>
        </w:rPr>
        <w:t>ing values according to the double entry method</w:t>
      </w:r>
      <w:r w:rsidRPr="00E2088D">
        <w:rPr>
          <w:sz w:val="18"/>
          <w:lang w:val="en-GB"/>
        </w:rPr>
        <w:t>;</w:t>
      </w:r>
    </w:p>
    <w:p w14:paraId="45FDDFF9" w14:textId="1B42A1F5" w:rsidR="00AE7801" w:rsidRPr="00E2088D" w:rsidRDefault="00AE7801" w:rsidP="00AE7801">
      <w:pPr>
        <w:spacing w:line="240" w:lineRule="exact"/>
        <w:ind w:left="284"/>
        <w:rPr>
          <w:sz w:val="18"/>
          <w:lang w:val="en-GB"/>
        </w:rPr>
      </w:pPr>
      <w:r w:rsidRPr="00E2088D">
        <w:rPr>
          <w:sz w:val="18"/>
          <w:lang w:val="en-GB"/>
        </w:rPr>
        <w:t>–</w:t>
      </w:r>
      <w:r w:rsidRPr="00E2088D">
        <w:rPr>
          <w:sz w:val="18"/>
          <w:lang w:val="en-GB"/>
        </w:rPr>
        <w:tab/>
      </w:r>
      <w:r w:rsidR="0040279B" w:rsidRPr="00E2088D">
        <w:rPr>
          <w:sz w:val="18"/>
          <w:lang w:val="en-GB"/>
        </w:rPr>
        <w:t>the economic-financial model underlying the preparation of the year-end summaries</w:t>
      </w:r>
      <w:r w:rsidRPr="00E2088D">
        <w:rPr>
          <w:sz w:val="18"/>
          <w:lang w:val="en-GB"/>
        </w:rPr>
        <w:t>;</w:t>
      </w:r>
    </w:p>
    <w:p w14:paraId="378635FD" w14:textId="17CC3C04" w:rsidR="00AE7801" w:rsidRPr="00E2088D" w:rsidRDefault="00AE7801" w:rsidP="00AE7801">
      <w:pPr>
        <w:spacing w:line="240" w:lineRule="exact"/>
        <w:ind w:left="284"/>
        <w:rPr>
          <w:sz w:val="18"/>
          <w:lang w:val="en-GB"/>
        </w:rPr>
      </w:pPr>
      <w:r w:rsidRPr="00E2088D">
        <w:rPr>
          <w:sz w:val="18"/>
          <w:lang w:val="en-GB"/>
        </w:rPr>
        <w:t>–</w:t>
      </w:r>
      <w:r w:rsidRPr="00E2088D">
        <w:rPr>
          <w:sz w:val="18"/>
          <w:lang w:val="en-GB"/>
        </w:rPr>
        <w:tab/>
      </w:r>
      <w:r w:rsidR="0040279B" w:rsidRPr="00E2088D">
        <w:rPr>
          <w:sz w:val="18"/>
          <w:lang w:val="en-GB"/>
        </w:rPr>
        <w:t>the main valuation profiles functional to the composition of the financial statements</w:t>
      </w:r>
      <w:r w:rsidRPr="00E2088D">
        <w:rPr>
          <w:sz w:val="18"/>
          <w:lang w:val="en-GB"/>
        </w:rPr>
        <w:t>;</w:t>
      </w:r>
    </w:p>
    <w:p w14:paraId="32D1FF48" w14:textId="2A8AB410" w:rsidR="00AE7801" w:rsidRPr="00E2088D" w:rsidRDefault="00AE7801" w:rsidP="00AE7801">
      <w:pPr>
        <w:spacing w:line="240" w:lineRule="exact"/>
        <w:ind w:left="284"/>
        <w:rPr>
          <w:sz w:val="18"/>
          <w:lang w:val="en-GB"/>
        </w:rPr>
      </w:pPr>
      <w:r w:rsidRPr="00E2088D">
        <w:rPr>
          <w:sz w:val="18"/>
          <w:lang w:val="en-GB"/>
        </w:rPr>
        <w:t>–</w:t>
      </w:r>
      <w:r w:rsidRPr="00E2088D">
        <w:rPr>
          <w:sz w:val="18"/>
          <w:lang w:val="en-GB"/>
        </w:rPr>
        <w:tab/>
      </w:r>
      <w:r w:rsidR="0040279B" w:rsidRPr="00E2088D">
        <w:rPr>
          <w:sz w:val="18"/>
          <w:lang w:val="en-GB"/>
        </w:rPr>
        <w:t>reading, interpretation and economic-financial analysis of the company's financial statements</w:t>
      </w:r>
      <w:r w:rsidRPr="00E2088D">
        <w:rPr>
          <w:sz w:val="18"/>
          <w:lang w:val="en-GB"/>
        </w:rPr>
        <w:t>.</w:t>
      </w:r>
    </w:p>
    <w:p w14:paraId="38BBB481" w14:textId="77777777" w:rsidR="00AE7801" w:rsidRPr="00E2088D" w:rsidRDefault="00AE7801" w:rsidP="00AE7801">
      <w:pPr>
        <w:spacing w:before="120"/>
        <w:ind w:firstLine="284"/>
        <w:rPr>
          <w:sz w:val="18"/>
          <w:szCs w:val="18"/>
          <w:lang w:val="en-GB"/>
        </w:rPr>
      </w:pPr>
      <w:r w:rsidRPr="00E2088D">
        <w:rPr>
          <w:sz w:val="18"/>
          <w:szCs w:val="18"/>
          <w:lang w:val="en-GB"/>
        </w:rPr>
        <w:t>In case the current Covid-19 health emergency does not allow frontal teaching, remote teaching will be carried out following procedures that will be promptly notified to students.</w:t>
      </w:r>
    </w:p>
    <w:p w14:paraId="7CD799F3" w14:textId="75E4E5F2" w:rsidR="006C3D2B" w:rsidRPr="0040279B" w:rsidRDefault="006C3D2B" w:rsidP="00AE7801">
      <w:pPr>
        <w:pStyle w:val="Testo2"/>
        <w:spacing w:before="120"/>
        <w:rPr>
          <w:noProof w:val="0"/>
          <w:lang w:val="en-GB"/>
        </w:rPr>
      </w:pPr>
      <w:r w:rsidRPr="00E2088D">
        <w:rPr>
          <w:noProof w:val="0"/>
          <w:lang w:val="en-GB"/>
        </w:rPr>
        <w:t xml:space="preserve">Further information can be found on the lecturer's webpage at </w:t>
      </w:r>
      <w:r w:rsidR="00E95CB1" w:rsidRPr="00E2088D">
        <w:rPr>
          <w:noProof w:val="0"/>
          <w:lang w:val="en-GB"/>
        </w:rPr>
        <w:t>http://docenti.unicatt.it/web/searchByName.do?language=ENG</w:t>
      </w:r>
      <w:r w:rsidRPr="00E2088D">
        <w:rPr>
          <w:noProof w:val="0"/>
          <w:lang w:val="en-GB"/>
        </w:rPr>
        <w:t>, or on the Faculty notice board.</w:t>
      </w:r>
    </w:p>
    <w:p w14:paraId="7639F7FC" w14:textId="77777777" w:rsidR="006C3D2B" w:rsidRPr="00035F45" w:rsidRDefault="006C3D2B" w:rsidP="003510D6">
      <w:pPr>
        <w:pStyle w:val="Testo2"/>
        <w:rPr>
          <w:noProof w:val="0"/>
          <w:lang w:val="en-GB"/>
        </w:rPr>
      </w:pPr>
    </w:p>
    <w:sectPr w:rsidR="006C3D2B" w:rsidRPr="00035F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9FE"/>
    <w:multiLevelType w:val="hybridMultilevel"/>
    <w:tmpl w:val="0B1A260C"/>
    <w:lvl w:ilvl="0" w:tplc="5FE4247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95289"/>
    <w:multiLevelType w:val="hybridMultilevel"/>
    <w:tmpl w:val="18827B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9321AB"/>
    <w:multiLevelType w:val="hybridMultilevel"/>
    <w:tmpl w:val="18246B9A"/>
    <w:lvl w:ilvl="0" w:tplc="55868DAA">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963156"/>
    <w:multiLevelType w:val="hybridMultilevel"/>
    <w:tmpl w:val="67C689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185644"/>
    <w:multiLevelType w:val="hybridMultilevel"/>
    <w:tmpl w:val="7B7A9560"/>
    <w:lvl w:ilvl="0" w:tplc="AB2C6B44">
      <w:start w:val="1"/>
      <w:numFmt w:val="bullet"/>
      <w:lvlText w:val="–"/>
      <w:lvlJc w:val="left"/>
      <w:pPr>
        <w:ind w:left="644"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EE45A53"/>
    <w:multiLevelType w:val="hybridMultilevel"/>
    <w:tmpl w:val="10E0AA10"/>
    <w:lvl w:ilvl="0" w:tplc="C3447C5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0E2D2E"/>
    <w:multiLevelType w:val="hybridMultilevel"/>
    <w:tmpl w:val="D324AA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77615D"/>
    <w:multiLevelType w:val="hybridMultilevel"/>
    <w:tmpl w:val="893076AC"/>
    <w:lvl w:ilvl="0" w:tplc="04100019">
      <w:start w:val="1"/>
      <w:numFmt w:val="lowerLetter"/>
      <w:lvlText w:val="%1."/>
      <w:lvlJc w:val="left"/>
      <w:pPr>
        <w:ind w:left="720" w:hanging="360"/>
      </w:pPr>
    </w:lvl>
    <w:lvl w:ilvl="1" w:tplc="0F28AE34">
      <w:start w:val="1"/>
      <w:numFmt w:val="upperLetter"/>
      <w:lvlText w:val="%2."/>
      <w:lvlJc w:val="left"/>
      <w:pPr>
        <w:ind w:left="1440" w:hanging="360"/>
      </w:pPr>
      <w:rPr>
        <w:rFonts w:hint="default"/>
        <w:sz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6E51A0"/>
    <w:multiLevelType w:val="hybridMultilevel"/>
    <w:tmpl w:val="148EE8C6"/>
    <w:lvl w:ilvl="0" w:tplc="894A5A2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B44CF9"/>
    <w:multiLevelType w:val="hybridMultilevel"/>
    <w:tmpl w:val="392E22E0"/>
    <w:lvl w:ilvl="0" w:tplc="CC080B0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6056BA"/>
    <w:multiLevelType w:val="hybridMultilevel"/>
    <w:tmpl w:val="AAC000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8B7652"/>
    <w:multiLevelType w:val="hybridMultilevel"/>
    <w:tmpl w:val="77BE1298"/>
    <w:lvl w:ilvl="0" w:tplc="5FE424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2A130C"/>
    <w:multiLevelType w:val="hybridMultilevel"/>
    <w:tmpl w:val="F8A69EB0"/>
    <w:lvl w:ilvl="0" w:tplc="63F8BE1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B132EC"/>
    <w:multiLevelType w:val="hybridMultilevel"/>
    <w:tmpl w:val="8AAA2F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87A40B7"/>
    <w:multiLevelType w:val="hybridMultilevel"/>
    <w:tmpl w:val="F12CD1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DFC08DA"/>
    <w:multiLevelType w:val="hybridMultilevel"/>
    <w:tmpl w:val="8880FC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2"/>
  </w:num>
  <w:num w:numId="5">
    <w:abstractNumId w:val="10"/>
  </w:num>
  <w:num w:numId="6">
    <w:abstractNumId w:val="9"/>
  </w:num>
  <w:num w:numId="7">
    <w:abstractNumId w:val="15"/>
  </w:num>
  <w:num w:numId="8">
    <w:abstractNumId w:val="2"/>
  </w:num>
  <w:num w:numId="9">
    <w:abstractNumId w:val="7"/>
  </w:num>
  <w:num w:numId="10">
    <w:abstractNumId w:val="8"/>
  </w:num>
  <w:num w:numId="11">
    <w:abstractNumId w:val="14"/>
  </w:num>
  <w:num w:numId="12">
    <w:abstractNumId w:val="0"/>
  </w:num>
  <w:num w:numId="13">
    <w:abstractNumId w:val="11"/>
  </w:num>
  <w:num w:numId="14">
    <w:abstractNumId w:val="1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4E"/>
    <w:rsid w:val="00000AD1"/>
    <w:rsid w:val="00020788"/>
    <w:rsid w:val="00032DDB"/>
    <w:rsid w:val="00035B35"/>
    <w:rsid w:val="00035F45"/>
    <w:rsid w:val="000C04FD"/>
    <w:rsid w:val="000D48D1"/>
    <w:rsid w:val="000E342F"/>
    <w:rsid w:val="001261DC"/>
    <w:rsid w:val="0013100E"/>
    <w:rsid w:val="00144105"/>
    <w:rsid w:val="00171687"/>
    <w:rsid w:val="00187B99"/>
    <w:rsid w:val="001D2C4F"/>
    <w:rsid w:val="001D610B"/>
    <w:rsid w:val="001E0D1E"/>
    <w:rsid w:val="001E5BC8"/>
    <w:rsid w:val="001F04FD"/>
    <w:rsid w:val="002014DD"/>
    <w:rsid w:val="00205C39"/>
    <w:rsid w:val="00216FF0"/>
    <w:rsid w:val="00227454"/>
    <w:rsid w:val="002312FA"/>
    <w:rsid w:val="00244518"/>
    <w:rsid w:val="002B756F"/>
    <w:rsid w:val="002E1516"/>
    <w:rsid w:val="002E1B25"/>
    <w:rsid w:val="002F20B5"/>
    <w:rsid w:val="002F57AA"/>
    <w:rsid w:val="003112DC"/>
    <w:rsid w:val="00317F41"/>
    <w:rsid w:val="003510D6"/>
    <w:rsid w:val="003D31A4"/>
    <w:rsid w:val="003E55C1"/>
    <w:rsid w:val="0040279B"/>
    <w:rsid w:val="00402980"/>
    <w:rsid w:val="0040599E"/>
    <w:rsid w:val="00422785"/>
    <w:rsid w:val="004450F6"/>
    <w:rsid w:val="004649B1"/>
    <w:rsid w:val="00490A2A"/>
    <w:rsid w:val="00493076"/>
    <w:rsid w:val="004C789E"/>
    <w:rsid w:val="004D1217"/>
    <w:rsid w:val="004D6008"/>
    <w:rsid w:val="0050749F"/>
    <w:rsid w:val="00541D84"/>
    <w:rsid w:val="005422D0"/>
    <w:rsid w:val="00574DF8"/>
    <w:rsid w:val="005C568F"/>
    <w:rsid w:val="005F131B"/>
    <w:rsid w:val="00634F35"/>
    <w:rsid w:val="0063766D"/>
    <w:rsid w:val="006740BA"/>
    <w:rsid w:val="006A39DC"/>
    <w:rsid w:val="006C3D2B"/>
    <w:rsid w:val="006C5F08"/>
    <w:rsid w:val="006F1772"/>
    <w:rsid w:val="00701765"/>
    <w:rsid w:val="00761760"/>
    <w:rsid w:val="00774485"/>
    <w:rsid w:val="007B59A8"/>
    <w:rsid w:val="007C3C27"/>
    <w:rsid w:val="00811F97"/>
    <w:rsid w:val="008530B3"/>
    <w:rsid w:val="00857A0A"/>
    <w:rsid w:val="00857F03"/>
    <w:rsid w:val="008A1204"/>
    <w:rsid w:val="008A598C"/>
    <w:rsid w:val="008A6A4E"/>
    <w:rsid w:val="008C67F5"/>
    <w:rsid w:val="008D3398"/>
    <w:rsid w:val="008E2EB6"/>
    <w:rsid w:val="008F63E8"/>
    <w:rsid w:val="00924B77"/>
    <w:rsid w:val="00930DE0"/>
    <w:rsid w:val="00940DA2"/>
    <w:rsid w:val="009528E9"/>
    <w:rsid w:val="009602CB"/>
    <w:rsid w:val="00970B6F"/>
    <w:rsid w:val="009B011B"/>
    <w:rsid w:val="009D34A2"/>
    <w:rsid w:val="009E055C"/>
    <w:rsid w:val="00A0605A"/>
    <w:rsid w:val="00A338F9"/>
    <w:rsid w:val="00A4223B"/>
    <w:rsid w:val="00A769B8"/>
    <w:rsid w:val="00A76AD4"/>
    <w:rsid w:val="00A85C96"/>
    <w:rsid w:val="00AA038C"/>
    <w:rsid w:val="00AA1BA3"/>
    <w:rsid w:val="00AE7801"/>
    <w:rsid w:val="00B47EDE"/>
    <w:rsid w:val="00B525CC"/>
    <w:rsid w:val="00B6661B"/>
    <w:rsid w:val="00B77B9D"/>
    <w:rsid w:val="00BA7E74"/>
    <w:rsid w:val="00BD5924"/>
    <w:rsid w:val="00BF40CF"/>
    <w:rsid w:val="00C135E2"/>
    <w:rsid w:val="00C216F6"/>
    <w:rsid w:val="00C40F42"/>
    <w:rsid w:val="00C73A86"/>
    <w:rsid w:val="00CD5986"/>
    <w:rsid w:val="00CE3651"/>
    <w:rsid w:val="00CF65E5"/>
    <w:rsid w:val="00D01017"/>
    <w:rsid w:val="00D158C8"/>
    <w:rsid w:val="00D404F2"/>
    <w:rsid w:val="00D61528"/>
    <w:rsid w:val="00DD0EF3"/>
    <w:rsid w:val="00DE5B7A"/>
    <w:rsid w:val="00E2088D"/>
    <w:rsid w:val="00E65F61"/>
    <w:rsid w:val="00E74C81"/>
    <w:rsid w:val="00E77C86"/>
    <w:rsid w:val="00E95CB1"/>
    <w:rsid w:val="00EA6D3E"/>
    <w:rsid w:val="00F223A1"/>
    <w:rsid w:val="00FD7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24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14DD"/>
    <w:pPr>
      <w:ind w:hanging="284"/>
      <w:jc w:val="both"/>
    </w:pPr>
  </w:style>
  <w:style w:type="paragraph" w:styleId="Titolo1">
    <w:name w:val="heading 1"/>
    <w:next w:val="Titolo2"/>
    <w:qFormat/>
    <w:rsid w:val="00D404F2"/>
    <w:pPr>
      <w:spacing w:before="480" w:line="240" w:lineRule="exact"/>
      <w:ind w:left="284" w:hanging="284"/>
      <w:jc w:val="both"/>
      <w:outlineLvl w:val="0"/>
    </w:pPr>
    <w:rPr>
      <w:rFonts w:ascii="Times" w:hAnsi="Times"/>
      <w:b/>
      <w:noProof/>
    </w:rPr>
  </w:style>
  <w:style w:type="paragraph" w:styleId="Titolo2">
    <w:name w:val="heading 2"/>
    <w:next w:val="Titolo3"/>
    <w:qFormat/>
    <w:rsid w:val="00187B99"/>
    <w:pPr>
      <w:spacing w:line="240" w:lineRule="exact"/>
      <w:ind w:hanging="284"/>
      <w:jc w:val="both"/>
      <w:outlineLvl w:val="1"/>
    </w:pPr>
    <w:rPr>
      <w:rFonts w:ascii="Times" w:hAnsi="Times"/>
      <w:smallCaps/>
      <w:noProof/>
      <w:sz w:val="18"/>
    </w:rPr>
  </w:style>
  <w:style w:type="paragraph" w:styleId="Titolo3">
    <w:name w:val="heading 3"/>
    <w:next w:val="Normale"/>
    <w:qFormat/>
    <w:rsid w:val="00D404F2"/>
    <w:pPr>
      <w:spacing w:before="240" w:after="120" w:line="240" w:lineRule="exact"/>
      <w:ind w:firstLine="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F03"/>
    <w:pPr>
      <w:ind w:left="720"/>
      <w:contextualSpacing/>
    </w:p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8A1204"/>
    <w:pPr>
      <w:tabs>
        <w:tab w:val="left" w:pos="284"/>
      </w:tabs>
      <w:spacing w:line="220" w:lineRule="exact"/>
      <w:ind w:firstLine="284"/>
      <w:jc w:val="both"/>
    </w:pPr>
    <w:rPr>
      <w:rFonts w:ascii="Times" w:hAnsi="Times"/>
      <w:noProof/>
      <w:sz w:val="18"/>
    </w:rPr>
  </w:style>
  <w:style w:type="character" w:styleId="Rimandocommento">
    <w:name w:val="annotation reference"/>
    <w:basedOn w:val="Carpredefinitoparagrafo"/>
    <w:semiHidden/>
    <w:unhideWhenUsed/>
    <w:rsid w:val="002B756F"/>
    <w:rPr>
      <w:sz w:val="16"/>
      <w:szCs w:val="16"/>
    </w:rPr>
  </w:style>
  <w:style w:type="paragraph" w:styleId="Testocommento">
    <w:name w:val="annotation text"/>
    <w:basedOn w:val="Normale"/>
    <w:link w:val="TestocommentoCarattere"/>
    <w:semiHidden/>
    <w:unhideWhenUsed/>
    <w:rsid w:val="002B756F"/>
    <w:rPr>
      <w:szCs w:val="20"/>
    </w:rPr>
  </w:style>
  <w:style w:type="character" w:customStyle="1" w:styleId="TestocommentoCarattere">
    <w:name w:val="Testo commento Carattere"/>
    <w:basedOn w:val="Carpredefinitoparagrafo"/>
    <w:link w:val="Testocommento"/>
    <w:semiHidden/>
    <w:rsid w:val="002B756F"/>
  </w:style>
  <w:style w:type="paragraph" w:styleId="Soggettocommento">
    <w:name w:val="annotation subject"/>
    <w:basedOn w:val="Testocommento"/>
    <w:next w:val="Testocommento"/>
    <w:link w:val="SoggettocommentoCarattere"/>
    <w:semiHidden/>
    <w:unhideWhenUsed/>
    <w:rsid w:val="002B756F"/>
    <w:rPr>
      <w:b/>
      <w:bCs/>
    </w:rPr>
  </w:style>
  <w:style w:type="character" w:customStyle="1" w:styleId="SoggettocommentoCarattere">
    <w:name w:val="Soggetto commento Carattere"/>
    <w:basedOn w:val="TestocommentoCarattere"/>
    <w:link w:val="Soggettocommento"/>
    <w:semiHidden/>
    <w:rsid w:val="002B756F"/>
    <w:rPr>
      <w:b/>
      <w:bCs/>
    </w:rPr>
  </w:style>
  <w:style w:type="paragraph" w:styleId="Testofumetto">
    <w:name w:val="Balloon Text"/>
    <w:basedOn w:val="Normale"/>
    <w:link w:val="TestofumettoCarattere"/>
    <w:semiHidden/>
    <w:unhideWhenUsed/>
    <w:rsid w:val="002B756F"/>
    <w:rPr>
      <w:rFonts w:ascii="Segoe UI" w:hAnsi="Segoe UI" w:cs="Segoe UI"/>
      <w:sz w:val="18"/>
      <w:szCs w:val="18"/>
    </w:rPr>
  </w:style>
  <w:style w:type="character" w:customStyle="1" w:styleId="TestofumettoCarattere">
    <w:name w:val="Testo fumetto Carattere"/>
    <w:basedOn w:val="Carpredefinitoparagrafo"/>
    <w:link w:val="Testofumetto"/>
    <w:semiHidden/>
    <w:rsid w:val="002B756F"/>
    <w:rPr>
      <w:rFonts w:ascii="Segoe UI" w:hAnsi="Segoe UI" w:cs="Segoe UI"/>
      <w:sz w:val="18"/>
      <w:szCs w:val="18"/>
    </w:rPr>
  </w:style>
  <w:style w:type="paragraph" w:styleId="Titolosommario">
    <w:name w:val="TOC Heading"/>
    <w:basedOn w:val="Titolo1"/>
    <w:next w:val="Normale"/>
    <w:uiPriority w:val="39"/>
    <w:unhideWhenUsed/>
    <w:qFormat/>
    <w:rsid w:val="00BD5924"/>
    <w:pPr>
      <w:keepNext/>
      <w:keepLines/>
      <w:spacing w:before="240" w:line="259" w:lineRule="auto"/>
      <w:ind w:left="0" w:firstLine="0"/>
      <w:jc w:val="left"/>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BD5924"/>
    <w:pPr>
      <w:spacing w:after="100"/>
    </w:pPr>
  </w:style>
  <w:style w:type="paragraph" w:styleId="Sommario2">
    <w:name w:val="toc 2"/>
    <w:basedOn w:val="Normale"/>
    <w:next w:val="Normale"/>
    <w:autoRedefine/>
    <w:uiPriority w:val="39"/>
    <w:unhideWhenUsed/>
    <w:rsid w:val="00BD5924"/>
    <w:pPr>
      <w:spacing w:after="100"/>
      <w:ind w:left="240"/>
    </w:pPr>
  </w:style>
  <w:style w:type="character" w:styleId="Collegamentoipertestuale">
    <w:name w:val="Hyperlink"/>
    <w:basedOn w:val="Carpredefinitoparagrafo"/>
    <w:uiPriority w:val="99"/>
    <w:unhideWhenUsed/>
    <w:rsid w:val="00BD5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75065">
      <w:bodyDiv w:val="1"/>
      <w:marLeft w:val="0"/>
      <w:marRight w:val="0"/>
      <w:marTop w:val="0"/>
      <w:marBottom w:val="0"/>
      <w:divBdr>
        <w:top w:val="none" w:sz="0" w:space="0" w:color="auto"/>
        <w:left w:val="none" w:sz="0" w:space="0" w:color="auto"/>
        <w:bottom w:val="none" w:sz="0" w:space="0" w:color="auto"/>
        <w:right w:val="none" w:sz="0" w:space="0" w:color="auto"/>
      </w:divBdr>
    </w:div>
    <w:div w:id="1271664149">
      <w:bodyDiv w:val="1"/>
      <w:marLeft w:val="0"/>
      <w:marRight w:val="0"/>
      <w:marTop w:val="0"/>
      <w:marBottom w:val="0"/>
      <w:divBdr>
        <w:top w:val="none" w:sz="0" w:space="0" w:color="auto"/>
        <w:left w:val="none" w:sz="0" w:space="0" w:color="auto"/>
        <w:bottom w:val="none" w:sz="0" w:space="0" w:color="auto"/>
        <w:right w:val="none" w:sz="0" w:space="0" w:color="auto"/>
      </w:divBdr>
    </w:div>
    <w:div w:id="1638680953">
      <w:bodyDiv w:val="1"/>
      <w:marLeft w:val="0"/>
      <w:marRight w:val="0"/>
      <w:marTop w:val="0"/>
      <w:marBottom w:val="0"/>
      <w:divBdr>
        <w:top w:val="none" w:sz="0" w:space="0" w:color="auto"/>
        <w:left w:val="none" w:sz="0" w:space="0" w:color="auto"/>
        <w:bottom w:val="none" w:sz="0" w:space="0" w:color="auto"/>
        <w:right w:val="none" w:sz="0" w:space="0" w:color="auto"/>
      </w:divBdr>
    </w:div>
    <w:div w:id="1646474217">
      <w:bodyDiv w:val="1"/>
      <w:marLeft w:val="0"/>
      <w:marRight w:val="0"/>
      <w:marTop w:val="0"/>
      <w:marBottom w:val="0"/>
      <w:divBdr>
        <w:top w:val="none" w:sz="0" w:space="0" w:color="auto"/>
        <w:left w:val="none" w:sz="0" w:space="0" w:color="auto"/>
        <w:bottom w:val="none" w:sz="0" w:space="0" w:color="auto"/>
        <w:right w:val="none" w:sz="0" w:space="0" w:color="auto"/>
      </w:divBdr>
    </w:div>
    <w:div w:id="1878079553">
      <w:bodyDiv w:val="1"/>
      <w:marLeft w:val="0"/>
      <w:marRight w:val="0"/>
      <w:marTop w:val="0"/>
      <w:marBottom w:val="0"/>
      <w:divBdr>
        <w:top w:val="none" w:sz="0" w:space="0" w:color="auto"/>
        <w:left w:val="none" w:sz="0" w:space="0" w:color="auto"/>
        <w:bottom w:val="none" w:sz="0" w:space="0" w:color="auto"/>
        <w:right w:val="none" w:sz="0" w:space="0" w:color="auto"/>
      </w:divBdr>
    </w:div>
    <w:div w:id="20733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1421F-E7F4-4786-A344-4369960F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953</Words>
  <Characters>5433</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dc:description/>
  <cp:lastModifiedBy>Grassi Monica Barbara</cp:lastModifiedBy>
  <cp:revision>18</cp:revision>
  <cp:lastPrinted>2014-09-22T09:36:00Z</cp:lastPrinted>
  <dcterms:created xsi:type="dcterms:W3CDTF">2020-09-25T14:11:00Z</dcterms:created>
  <dcterms:modified xsi:type="dcterms:W3CDTF">2021-12-20T07:53:00Z</dcterms:modified>
</cp:coreProperties>
</file>