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F8D4E" w14:textId="39FD8763" w:rsidR="00A464F0" w:rsidRPr="00D17824" w:rsidRDefault="00A66D32">
      <w:pPr>
        <w:pStyle w:val="Titolo1"/>
        <w:spacing w:before="0"/>
        <w:ind w:left="0" w:firstLine="0"/>
        <w:rPr>
          <w:rFonts w:ascii="Times New Roman" w:hAnsi="Times New Roman"/>
          <w:b w:val="0"/>
          <w:lang w:val="en-GB"/>
        </w:rPr>
      </w:pPr>
      <w:r w:rsidRPr="00D17824">
        <w:rPr>
          <w:rFonts w:ascii="Times New Roman" w:hAnsi="Times New Roman"/>
          <w:lang w:val="en-GB"/>
        </w:rPr>
        <w:t xml:space="preserve">Specialist Module with Workshop: </w:t>
      </w:r>
      <w:r w:rsidRPr="00D17824">
        <w:rPr>
          <w:lang w:val="en-GB"/>
        </w:rPr>
        <w:t>Positive Interactions between Humans and Robots in Rehabilitation, Training and Healthy Living</w:t>
      </w:r>
    </w:p>
    <w:p w14:paraId="167CC606" w14:textId="26BAA83F" w:rsidR="00A464F0" w:rsidRPr="00D17824" w:rsidRDefault="00A66D32">
      <w:pPr>
        <w:pStyle w:val="Titolo2"/>
        <w:rPr>
          <w:lang w:val="en-GB"/>
        </w:rPr>
      </w:pPr>
      <w:r w:rsidRPr="00D17824">
        <w:rPr>
          <w:lang w:val="en-GB"/>
        </w:rPr>
        <w:t xml:space="preserve">Prof. Federico </w:t>
      </w:r>
      <w:proofErr w:type="spellStart"/>
      <w:r w:rsidRPr="00D17824">
        <w:rPr>
          <w:lang w:val="en-GB"/>
        </w:rPr>
        <w:t>Manzi</w:t>
      </w:r>
      <w:proofErr w:type="spellEnd"/>
    </w:p>
    <w:p w14:paraId="4BC5A21B" w14:textId="450BF602" w:rsidR="00A464F0" w:rsidRPr="00DF2963" w:rsidRDefault="00A66D32">
      <w:pPr>
        <w:pStyle w:val="P68B1DB1-Normale1"/>
        <w:spacing w:before="240" w:after="120" w:line="240" w:lineRule="exact"/>
        <w:rPr>
          <w:sz w:val="18"/>
          <w:szCs w:val="18"/>
          <w:lang w:val="en-GB"/>
        </w:rPr>
      </w:pPr>
      <w:r w:rsidRPr="00DF2963">
        <w:rPr>
          <w:sz w:val="18"/>
          <w:szCs w:val="18"/>
          <w:lang w:val="en-GB"/>
        </w:rPr>
        <w:t>COURSE AIMS AND INTENDED LEARNING OUTCOMES</w:t>
      </w:r>
    </w:p>
    <w:p w14:paraId="77E8BC0C" w14:textId="77777777" w:rsidR="00A464F0" w:rsidRPr="00D17824" w:rsidRDefault="00A66D32">
      <w:pPr>
        <w:rPr>
          <w:lang w:val="en-GB"/>
        </w:rPr>
      </w:pPr>
      <w:r w:rsidRPr="00D17824">
        <w:rPr>
          <w:lang w:val="en-GB"/>
        </w:rPr>
        <w:t>Course Aims</w:t>
      </w:r>
    </w:p>
    <w:p w14:paraId="36831B2F" w14:textId="77777777" w:rsidR="00A464F0" w:rsidRPr="00D17824" w:rsidRDefault="00A66D32">
      <w:pPr>
        <w:rPr>
          <w:lang w:val="en-GB"/>
        </w:rPr>
      </w:pPr>
      <w:r w:rsidRPr="00D17824">
        <w:rPr>
          <w:lang w:val="en-GB"/>
        </w:rPr>
        <w:t xml:space="preserve">The course aims to introduce the topic of Human-Robot Interaction (HRI), so providing students with the theoretical and operational knowledge to approach different robotic platforms and recognise their basic characteristics. Furthermore, during the course students will have the opportunity to gain experience with two of the most widely used Social Robots: the NAO and Pepper robot. Gaining practical experience with the two robots will deepen students' knowledge of the different application fields for social robots, with a particular focus on Socially Assistive Robotics (SAR), or the use of robots in the rehabilitation and assistance field, and on Robot for Learning, i.e. robots in educational contexts. </w:t>
      </w:r>
    </w:p>
    <w:p w14:paraId="22FB5FDA" w14:textId="77777777" w:rsidR="00A464F0" w:rsidRPr="00D17824" w:rsidRDefault="00A66D32">
      <w:pPr>
        <w:rPr>
          <w:lang w:val="en-GB"/>
        </w:rPr>
      </w:pPr>
      <w:r w:rsidRPr="00D17824">
        <w:rPr>
          <w:lang w:val="en-GB"/>
        </w:rPr>
        <w:t>Intended learning outcomes</w:t>
      </w:r>
    </w:p>
    <w:p w14:paraId="2099014B" w14:textId="1CD38A74" w:rsidR="00A464F0" w:rsidRPr="00D17824" w:rsidRDefault="00A66D32">
      <w:pPr>
        <w:rPr>
          <w:lang w:val="en-GB"/>
        </w:rPr>
      </w:pPr>
      <w:r w:rsidRPr="00D17824">
        <w:rPr>
          <w:lang w:val="en-GB"/>
        </w:rPr>
        <w:t>At the end of the course, students will be able to</w:t>
      </w:r>
      <w:r w:rsidR="00D17824">
        <w:rPr>
          <w:lang w:val="en-GB"/>
        </w:rPr>
        <w:t>:</w:t>
      </w:r>
      <w:r w:rsidRPr="00D17824">
        <w:rPr>
          <w:lang w:val="en-GB"/>
        </w:rPr>
        <w:t xml:space="preserve"> (1) know the specific topics of HRI in relation to the theories covered during the course</w:t>
      </w:r>
      <w:r w:rsidR="00D17824">
        <w:rPr>
          <w:lang w:val="en-GB"/>
        </w:rPr>
        <w:t>;</w:t>
      </w:r>
      <w:r w:rsidRPr="00D17824">
        <w:rPr>
          <w:lang w:val="en-GB"/>
        </w:rPr>
        <w:t xml:space="preserve"> (2) recognise the main robotic platforms, with particular attention to social robots</w:t>
      </w:r>
      <w:r w:rsidR="00D17824">
        <w:rPr>
          <w:lang w:val="en-GB"/>
        </w:rPr>
        <w:t>;</w:t>
      </w:r>
      <w:r w:rsidRPr="00D17824">
        <w:rPr>
          <w:lang w:val="en-GB"/>
        </w:rPr>
        <w:t xml:space="preserve"> (3) understand the functioning of the two social robots presented during the course (NAO and Pepper robot)</w:t>
      </w:r>
      <w:r w:rsidR="00D17824">
        <w:rPr>
          <w:lang w:val="en-GB"/>
        </w:rPr>
        <w:t>;</w:t>
      </w:r>
      <w:r w:rsidRPr="00D17824">
        <w:rPr>
          <w:lang w:val="en-GB"/>
        </w:rPr>
        <w:t xml:space="preserve"> and (4) examine the context and situations in which social robots can be used to support the individual's well-being. </w:t>
      </w:r>
    </w:p>
    <w:p w14:paraId="28D35E95" w14:textId="77777777" w:rsidR="00A464F0" w:rsidRPr="00DF2963" w:rsidRDefault="00A66D32">
      <w:pPr>
        <w:pStyle w:val="P68B1DB1-Normale1"/>
        <w:spacing w:before="240" w:after="120" w:line="240" w:lineRule="exact"/>
        <w:rPr>
          <w:sz w:val="18"/>
          <w:szCs w:val="18"/>
          <w:lang w:val="en-GB"/>
        </w:rPr>
      </w:pPr>
      <w:r w:rsidRPr="00DF2963">
        <w:rPr>
          <w:sz w:val="18"/>
          <w:szCs w:val="18"/>
          <w:lang w:val="en-GB"/>
        </w:rPr>
        <w:t>COURSE CONTENT</w:t>
      </w:r>
    </w:p>
    <w:p w14:paraId="4FE046C8" w14:textId="77777777" w:rsidR="00A464F0" w:rsidRPr="00D17824" w:rsidRDefault="00A66D32">
      <w:pPr>
        <w:rPr>
          <w:i/>
          <w:lang w:val="en-GB"/>
        </w:rPr>
      </w:pPr>
      <w:bookmarkStart w:id="0" w:name="_Hlk1721650"/>
      <w:r w:rsidRPr="00D17824">
        <w:rPr>
          <w:lang w:val="en-GB"/>
        </w:rPr>
        <w:t xml:space="preserve">The course includes a </w:t>
      </w:r>
      <w:r w:rsidRPr="00D17824">
        <w:rPr>
          <w:i/>
          <w:lang w:val="en-GB"/>
        </w:rPr>
        <w:t>theoretical part,</w:t>
      </w:r>
      <w:r w:rsidRPr="00D17824">
        <w:rPr>
          <w:lang w:val="en-GB"/>
        </w:rPr>
        <w:t xml:space="preserve"> a </w:t>
      </w:r>
      <w:r w:rsidRPr="00D17824">
        <w:rPr>
          <w:i/>
          <w:lang w:val="en-GB"/>
        </w:rPr>
        <w:t xml:space="preserve">methodological </w:t>
      </w:r>
      <w:r w:rsidRPr="00D17824">
        <w:rPr>
          <w:lang w:val="en-GB"/>
        </w:rPr>
        <w:t xml:space="preserve">part and a </w:t>
      </w:r>
      <w:r w:rsidRPr="00D17824">
        <w:rPr>
          <w:i/>
          <w:lang w:val="en-GB"/>
        </w:rPr>
        <w:t>practical part.</w:t>
      </w:r>
      <w:r w:rsidRPr="00D17824">
        <w:rPr>
          <w:lang w:val="en-GB"/>
        </w:rPr>
        <w:t xml:space="preserve"> </w:t>
      </w:r>
    </w:p>
    <w:p w14:paraId="6A083986" w14:textId="76369785" w:rsidR="00A464F0" w:rsidRPr="00D17824" w:rsidRDefault="00A66D32">
      <w:pPr>
        <w:rPr>
          <w:lang w:val="en-GB"/>
        </w:rPr>
      </w:pPr>
      <w:r w:rsidRPr="00D17824">
        <w:rPr>
          <w:lang w:val="en-GB"/>
        </w:rPr>
        <w:t xml:space="preserve">The </w:t>
      </w:r>
      <w:r w:rsidRPr="00D17824">
        <w:rPr>
          <w:i/>
          <w:lang w:val="en-GB"/>
        </w:rPr>
        <w:t>theoretical</w:t>
      </w:r>
      <w:r w:rsidRPr="00D17824">
        <w:rPr>
          <w:lang w:val="en-GB"/>
        </w:rPr>
        <w:t xml:space="preserve"> part deals with some of the most recent theoretical approaches to HRI and the fundamental issues for evaluating robotic platforms and their use. The</w:t>
      </w:r>
      <w:r w:rsidR="00033FA9">
        <w:rPr>
          <w:lang w:val="en-GB"/>
        </w:rPr>
        <w:t xml:space="preserve"> </w:t>
      </w:r>
      <w:r w:rsidRPr="00D17824">
        <w:rPr>
          <w:i/>
          <w:lang w:val="en-GB"/>
        </w:rPr>
        <w:t>Uncanny Valley Effect</w:t>
      </w:r>
      <w:r w:rsidRPr="00D17824">
        <w:rPr>
          <w:lang w:val="en-GB"/>
        </w:rPr>
        <w:t xml:space="preserve">, </w:t>
      </w:r>
      <w:r w:rsidRPr="00D17824">
        <w:rPr>
          <w:i/>
          <w:lang w:val="en-GB"/>
        </w:rPr>
        <w:t>Developmental Robotics</w:t>
      </w:r>
      <w:r w:rsidRPr="00D17824">
        <w:rPr>
          <w:lang w:val="en-GB"/>
        </w:rPr>
        <w:t xml:space="preserve">, </w:t>
      </w:r>
      <w:r w:rsidRPr="00D17824">
        <w:rPr>
          <w:i/>
          <w:lang w:val="en-GB"/>
        </w:rPr>
        <w:t>Developmental Cybernetics</w:t>
      </w:r>
      <w:r w:rsidRPr="00D17824">
        <w:rPr>
          <w:lang w:val="en-GB"/>
        </w:rPr>
        <w:t xml:space="preserve">, </w:t>
      </w:r>
      <w:r w:rsidRPr="00D17824">
        <w:rPr>
          <w:i/>
          <w:lang w:val="en-GB"/>
        </w:rPr>
        <w:t xml:space="preserve">Socially Assistive Robotics </w:t>
      </w:r>
      <w:r w:rsidRPr="00D17824">
        <w:rPr>
          <w:lang w:val="en-GB"/>
        </w:rPr>
        <w:t xml:space="preserve">and </w:t>
      </w:r>
      <w:r w:rsidRPr="00D17824">
        <w:rPr>
          <w:i/>
          <w:lang w:val="en-GB"/>
        </w:rPr>
        <w:t xml:space="preserve">Robot for Learning </w:t>
      </w:r>
      <w:r w:rsidRPr="00D17824">
        <w:rPr>
          <w:lang w:val="en-GB"/>
        </w:rPr>
        <w:t>will be presented through the latest research, so as to provide an integrated view of robot use in design and application terms.</w:t>
      </w:r>
    </w:p>
    <w:p w14:paraId="5893C5D6" w14:textId="4FAE2814" w:rsidR="00A464F0" w:rsidRPr="00D17824" w:rsidRDefault="00A66D32">
      <w:pPr>
        <w:rPr>
          <w:lang w:val="en-GB"/>
        </w:rPr>
      </w:pPr>
      <w:r w:rsidRPr="00D17824">
        <w:rPr>
          <w:lang w:val="en-GB"/>
        </w:rPr>
        <w:t xml:space="preserve">The </w:t>
      </w:r>
      <w:r w:rsidRPr="00D17824">
        <w:rPr>
          <w:i/>
          <w:lang w:val="en-GB"/>
        </w:rPr>
        <w:t>methodological</w:t>
      </w:r>
      <w:r w:rsidRPr="00D17824">
        <w:rPr>
          <w:lang w:val="en-GB"/>
        </w:rPr>
        <w:t xml:space="preserve"> part focuses on the functions and usage methods of two robotic platforms, the NAO and Pepper robot. Specifically, use of the </w:t>
      </w:r>
      <w:proofErr w:type="spellStart"/>
      <w:r w:rsidRPr="00D17824">
        <w:rPr>
          <w:i/>
          <w:lang w:val="en-GB"/>
        </w:rPr>
        <w:t>Choregraphe</w:t>
      </w:r>
      <w:proofErr w:type="spellEnd"/>
      <w:r w:rsidRPr="00D17824">
        <w:rPr>
          <w:i/>
          <w:lang w:val="en-GB"/>
        </w:rPr>
        <w:t xml:space="preserve"> </w:t>
      </w:r>
      <w:r w:rsidR="00203DC0">
        <w:rPr>
          <w:lang w:val="en-GB"/>
        </w:rPr>
        <w:t>programming software</w:t>
      </w:r>
      <w:r w:rsidRPr="00D17824">
        <w:rPr>
          <w:lang w:val="en-GB"/>
        </w:rPr>
        <w:t xml:space="preserve"> (free download) is studied in depth. </w:t>
      </w:r>
    </w:p>
    <w:bookmarkEnd w:id="0"/>
    <w:p w14:paraId="38197BC2" w14:textId="23ADD483" w:rsidR="00A464F0" w:rsidRPr="00203DC0" w:rsidRDefault="00A66D32" w:rsidP="00747BF5">
      <w:pPr>
        <w:tabs>
          <w:tab w:val="clear" w:pos="284"/>
        </w:tabs>
        <w:spacing w:before="120"/>
        <w:rPr>
          <w:strike/>
          <w:color w:val="FF0000"/>
          <w:lang w:val="en-GB"/>
        </w:rPr>
      </w:pPr>
      <w:r w:rsidRPr="00D17824">
        <w:rPr>
          <w:lang w:val="en-GB"/>
        </w:rPr>
        <w:t xml:space="preserve">The </w:t>
      </w:r>
      <w:r w:rsidRPr="00D17824">
        <w:rPr>
          <w:i/>
          <w:lang w:val="en-GB"/>
        </w:rPr>
        <w:t>practical</w:t>
      </w:r>
      <w:r w:rsidRPr="00D17824">
        <w:rPr>
          <w:lang w:val="en-GB"/>
        </w:rPr>
        <w:t xml:space="preserve"> part consists of practical exercises, in small groups, focused on using </w:t>
      </w:r>
      <w:r w:rsidR="00747BF5" w:rsidRPr="00747BF5">
        <w:rPr>
          <w:lang w:val="en-US"/>
        </w:rPr>
        <w:t>robots in terms of design and application.</w:t>
      </w:r>
    </w:p>
    <w:p w14:paraId="44AD9339" w14:textId="77777777" w:rsidR="00A464F0" w:rsidRPr="00DF2963" w:rsidRDefault="00A66D32">
      <w:pPr>
        <w:pStyle w:val="P68B1DB1-Normale1"/>
        <w:spacing w:before="240" w:after="120"/>
        <w:rPr>
          <w:sz w:val="18"/>
          <w:szCs w:val="18"/>
          <w:lang w:val="en-GB"/>
        </w:rPr>
      </w:pPr>
      <w:r w:rsidRPr="00DF2963">
        <w:rPr>
          <w:sz w:val="18"/>
          <w:szCs w:val="18"/>
          <w:lang w:val="en-GB"/>
        </w:rPr>
        <w:t>READING LIST</w:t>
      </w:r>
    </w:p>
    <w:p w14:paraId="6E5D2573" w14:textId="36A7B0A7" w:rsidR="00AD166C" w:rsidRDefault="00AD166C" w:rsidP="00AD166C">
      <w:pPr>
        <w:pStyle w:val="Testo1"/>
        <w:spacing w:before="0"/>
        <w:rPr>
          <w:lang w:val="en-US"/>
        </w:rPr>
      </w:pPr>
      <w:proofErr w:type="spellStart"/>
      <w:r w:rsidRPr="00230D1C">
        <w:rPr>
          <w:smallCaps/>
          <w:sz w:val="16"/>
          <w:lang w:val="en-US"/>
        </w:rPr>
        <w:t>Bartneck</w:t>
      </w:r>
      <w:proofErr w:type="spellEnd"/>
      <w:r w:rsidRPr="00230D1C">
        <w:rPr>
          <w:smallCaps/>
          <w:sz w:val="16"/>
          <w:lang w:val="en-US"/>
        </w:rPr>
        <w:t xml:space="preserve">, C., </w:t>
      </w:r>
      <w:proofErr w:type="spellStart"/>
      <w:r w:rsidRPr="00230D1C">
        <w:rPr>
          <w:smallCaps/>
          <w:sz w:val="16"/>
          <w:lang w:val="en-US"/>
        </w:rPr>
        <w:t>Belpaeme</w:t>
      </w:r>
      <w:proofErr w:type="spellEnd"/>
      <w:r w:rsidRPr="00230D1C">
        <w:rPr>
          <w:smallCaps/>
          <w:sz w:val="16"/>
          <w:lang w:val="en-US"/>
        </w:rPr>
        <w:t xml:space="preserve">, T., </w:t>
      </w:r>
      <w:proofErr w:type="spellStart"/>
      <w:r w:rsidRPr="00230D1C">
        <w:rPr>
          <w:smallCaps/>
          <w:sz w:val="16"/>
          <w:lang w:val="en-US"/>
        </w:rPr>
        <w:t>Eyssel</w:t>
      </w:r>
      <w:proofErr w:type="spellEnd"/>
      <w:r w:rsidRPr="00230D1C">
        <w:rPr>
          <w:smallCaps/>
          <w:sz w:val="16"/>
          <w:lang w:val="en-US"/>
        </w:rPr>
        <w:t xml:space="preserve">, F., Kanda, T., </w:t>
      </w:r>
      <w:proofErr w:type="spellStart"/>
      <w:r w:rsidRPr="00230D1C">
        <w:rPr>
          <w:smallCaps/>
          <w:sz w:val="16"/>
          <w:lang w:val="en-US"/>
        </w:rPr>
        <w:t>Keijsers</w:t>
      </w:r>
      <w:proofErr w:type="spellEnd"/>
      <w:r w:rsidRPr="00230D1C">
        <w:rPr>
          <w:smallCaps/>
          <w:sz w:val="16"/>
          <w:lang w:val="en-US"/>
        </w:rPr>
        <w:t xml:space="preserve">, M., &amp; </w:t>
      </w:r>
      <w:proofErr w:type="spellStart"/>
      <w:r w:rsidRPr="00230D1C">
        <w:rPr>
          <w:smallCaps/>
          <w:sz w:val="16"/>
          <w:lang w:val="en-US"/>
        </w:rPr>
        <w:t>Sabanovic</w:t>
      </w:r>
      <w:proofErr w:type="spellEnd"/>
      <w:r w:rsidRPr="00230D1C">
        <w:rPr>
          <w:smallCaps/>
          <w:sz w:val="16"/>
          <w:lang w:val="en-US"/>
        </w:rPr>
        <w:t>, S.</w:t>
      </w:r>
      <w:r w:rsidRPr="00230D1C">
        <w:rPr>
          <w:sz w:val="16"/>
          <w:lang w:val="en-US"/>
        </w:rPr>
        <w:t xml:space="preserve"> </w:t>
      </w:r>
      <w:r w:rsidRPr="00AD166C">
        <w:rPr>
          <w:lang w:val="en-US"/>
        </w:rPr>
        <w:t xml:space="preserve">(2020). </w:t>
      </w:r>
      <w:r w:rsidRPr="00B86138">
        <w:rPr>
          <w:lang w:val="en-US"/>
        </w:rPr>
        <w:t>Human-Robot Interaction – An Introduction</w:t>
      </w:r>
      <w:r>
        <w:rPr>
          <w:lang w:val="en-US"/>
        </w:rPr>
        <w:t xml:space="preserve">. </w:t>
      </w:r>
      <w:r w:rsidRPr="00B86138">
        <w:rPr>
          <w:lang w:val="en-US"/>
        </w:rPr>
        <w:t>Cambridge University Press (</w:t>
      </w:r>
      <w:r w:rsidR="00187044">
        <w:rPr>
          <w:lang w:val="en-US"/>
        </w:rPr>
        <w:t>Chapters</w:t>
      </w:r>
      <w:r w:rsidRPr="00B86138">
        <w:rPr>
          <w:lang w:val="en-US"/>
        </w:rPr>
        <w:t xml:space="preserve"> 2, 6, 7, 8, 10)</w:t>
      </w:r>
    </w:p>
    <w:p w14:paraId="06729F92" w14:textId="1208DEC9" w:rsidR="00AD166C" w:rsidRDefault="00AD166C" w:rsidP="00AD166C">
      <w:pPr>
        <w:pStyle w:val="Testo1"/>
        <w:spacing w:before="0"/>
      </w:pPr>
      <w:r w:rsidRPr="00230D1C">
        <w:rPr>
          <w:smallCaps/>
          <w:sz w:val="16"/>
          <w:lang w:val="en-US"/>
        </w:rPr>
        <w:lastRenderedPageBreak/>
        <w:t xml:space="preserve">Riva G., Marchetti A., </w:t>
      </w:r>
      <w:r w:rsidRPr="007460A6">
        <w:rPr>
          <w:lang w:val="en-US"/>
        </w:rPr>
        <w:t xml:space="preserve">(2022). Humane Robotics: A multidisciplinary approach towards the development of humane-centered technologies. </w:t>
      </w:r>
      <w:r w:rsidRPr="00923084">
        <w:t>Vita e Pensiero</w:t>
      </w:r>
      <w:r>
        <w:t xml:space="preserve"> </w:t>
      </w:r>
      <w:r w:rsidRPr="00923084">
        <w:t>(</w:t>
      </w:r>
      <w:r w:rsidR="00187044">
        <w:t>Section</w:t>
      </w:r>
      <w:r>
        <w:t xml:space="preserve"> 1 – </w:t>
      </w:r>
      <w:proofErr w:type="spellStart"/>
      <w:r w:rsidR="00187044" w:rsidRPr="00187044">
        <w:t>Chapter</w:t>
      </w:r>
      <w:proofErr w:type="spellEnd"/>
      <w:r w:rsidR="00187044">
        <w:t xml:space="preserve"> </w:t>
      </w:r>
      <w:r>
        <w:t xml:space="preserve">1; </w:t>
      </w:r>
      <w:r w:rsidR="00187044">
        <w:t xml:space="preserve">Section </w:t>
      </w:r>
      <w:r>
        <w:t xml:space="preserve">2 – </w:t>
      </w:r>
      <w:proofErr w:type="spellStart"/>
      <w:r w:rsidR="00187044" w:rsidRPr="00187044">
        <w:t>Chapters</w:t>
      </w:r>
      <w:proofErr w:type="spellEnd"/>
      <w:r w:rsidR="00187044" w:rsidRPr="00187044">
        <w:t xml:space="preserve"> </w:t>
      </w:r>
      <w:r>
        <w:t xml:space="preserve">2, 4, 6, 8; </w:t>
      </w:r>
      <w:r w:rsidR="00187044">
        <w:t xml:space="preserve">Section </w:t>
      </w:r>
      <w:r>
        <w:t xml:space="preserve">3 – </w:t>
      </w:r>
      <w:proofErr w:type="spellStart"/>
      <w:r w:rsidR="00187044" w:rsidRPr="00187044">
        <w:t>Chapters</w:t>
      </w:r>
      <w:proofErr w:type="spellEnd"/>
      <w:r w:rsidR="00187044" w:rsidRPr="00187044">
        <w:t xml:space="preserve"> </w:t>
      </w:r>
      <w:r>
        <w:t>3 e 5</w:t>
      </w:r>
      <w:r w:rsidRPr="00923084">
        <w:t xml:space="preserve">). </w:t>
      </w:r>
    </w:p>
    <w:p w14:paraId="76606200" w14:textId="7FEA8396" w:rsidR="00AD166C" w:rsidRPr="00AD166C" w:rsidRDefault="00AD166C" w:rsidP="00AD166C">
      <w:pPr>
        <w:pStyle w:val="Testo1"/>
      </w:pPr>
      <w:bookmarkStart w:id="1" w:name="_GoBack"/>
      <w:proofErr w:type="spellStart"/>
      <w:r w:rsidRPr="00230D1C">
        <w:rPr>
          <w:smallCaps/>
          <w:sz w:val="16"/>
          <w:lang w:val="en-US"/>
        </w:rPr>
        <w:t>Alnajjar</w:t>
      </w:r>
      <w:proofErr w:type="spellEnd"/>
      <w:r w:rsidRPr="00230D1C">
        <w:rPr>
          <w:smallCaps/>
          <w:sz w:val="16"/>
          <w:lang w:val="en-US"/>
        </w:rPr>
        <w:t xml:space="preserve">, F. et al. </w:t>
      </w:r>
      <w:bookmarkEnd w:id="1"/>
      <w:r w:rsidRPr="007460A6">
        <w:rPr>
          <w:lang w:val="en-US"/>
        </w:rPr>
        <w:t>(202</w:t>
      </w:r>
      <w:r>
        <w:rPr>
          <w:lang w:val="en-US"/>
        </w:rPr>
        <w:t>1</w:t>
      </w:r>
      <w:r w:rsidRPr="007460A6">
        <w:rPr>
          <w:lang w:val="en-US"/>
        </w:rPr>
        <w:t>)</w:t>
      </w:r>
      <w:r>
        <w:rPr>
          <w:lang w:val="en-US"/>
        </w:rPr>
        <w:t xml:space="preserve"> </w:t>
      </w:r>
      <w:r w:rsidRPr="003153E1">
        <w:rPr>
          <w:lang w:val="en-US"/>
        </w:rPr>
        <w:t>Robots in Education</w:t>
      </w:r>
      <w:r>
        <w:rPr>
          <w:lang w:val="en-US"/>
        </w:rPr>
        <w:t xml:space="preserve">: </w:t>
      </w:r>
      <w:r w:rsidRPr="003153E1">
        <w:rPr>
          <w:lang w:val="en-US"/>
        </w:rPr>
        <w:t>An Introduction to High-Tech Social Agents, Intelligent Tutors, and Curricular Tools</w:t>
      </w:r>
      <w:r>
        <w:rPr>
          <w:lang w:val="en-US"/>
        </w:rPr>
        <w:t xml:space="preserve">. </w:t>
      </w:r>
      <w:proofErr w:type="spellStart"/>
      <w:r w:rsidRPr="00AD166C">
        <w:t>Routledge</w:t>
      </w:r>
      <w:proofErr w:type="spellEnd"/>
      <w:r w:rsidRPr="00AD166C">
        <w:t xml:space="preserve"> (</w:t>
      </w:r>
      <w:r w:rsidR="00187044">
        <w:rPr>
          <w:lang w:val="en-US"/>
        </w:rPr>
        <w:t>Chapters</w:t>
      </w:r>
      <w:r w:rsidR="00187044" w:rsidRPr="00B86138">
        <w:rPr>
          <w:lang w:val="en-US"/>
        </w:rPr>
        <w:t xml:space="preserve"> </w:t>
      </w:r>
      <w:r w:rsidRPr="00AD166C">
        <w:t>8 e 11)</w:t>
      </w:r>
    </w:p>
    <w:p w14:paraId="3A79B649" w14:textId="77777777" w:rsidR="00A464F0" w:rsidRPr="00D17824" w:rsidRDefault="00A66D32">
      <w:pPr>
        <w:pStyle w:val="Testo1"/>
        <w:spacing w:before="0"/>
        <w:rPr>
          <w:lang w:val="en-GB"/>
        </w:rPr>
      </w:pPr>
      <w:r w:rsidRPr="00D17824">
        <w:rPr>
          <w:lang w:val="en-GB"/>
        </w:rPr>
        <w:t xml:space="preserve">Scientific articles on the subject of HRI will be provided. </w:t>
      </w:r>
    </w:p>
    <w:p w14:paraId="6A52D6F9" w14:textId="77777777" w:rsidR="00A464F0" w:rsidRPr="00DF2963" w:rsidRDefault="00A66D32">
      <w:pPr>
        <w:pStyle w:val="P68B1DB1-Normale1"/>
        <w:spacing w:before="240" w:after="120"/>
        <w:rPr>
          <w:sz w:val="18"/>
          <w:szCs w:val="18"/>
          <w:lang w:val="en-GB"/>
        </w:rPr>
      </w:pPr>
      <w:r w:rsidRPr="00DF2963">
        <w:rPr>
          <w:sz w:val="18"/>
          <w:szCs w:val="18"/>
          <w:lang w:val="en-GB"/>
        </w:rPr>
        <w:t>TEACHING METHOD</w:t>
      </w:r>
    </w:p>
    <w:p w14:paraId="070E011A" w14:textId="77777777" w:rsidR="00A464F0" w:rsidRPr="00DF2963" w:rsidRDefault="00A66D32">
      <w:pPr>
        <w:spacing w:before="240" w:after="120"/>
        <w:ind w:firstLine="284"/>
        <w:rPr>
          <w:sz w:val="18"/>
          <w:lang w:val="en-GB"/>
        </w:rPr>
      </w:pPr>
      <w:r w:rsidRPr="00DF2963">
        <w:rPr>
          <w:sz w:val="18"/>
          <w:lang w:val="en-GB"/>
        </w:rPr>
        <w:t>Classroom lectures, practical exercises and guided practical work.</w:t>
      </w:r>
    </w:p>
    <w:p w14:paraId="3F4CF27A" w14:textId="77777777" w:rsidR="00A464F0" w:rsidRPr="00DF2963" w:rsidRDefault="00A66D32">
      <w:pPr>
        <w:pStyle w:val="P68B1DB1-Normale1"/>
        <w:spacing w:before="240" w:after="120"/>
        <w:rPr>
          <w:sz w:val="18"/>
          <w:szCs w:val="18"/>
          <w:lang w:val="en-GB"/>
        </w:rPr>
      </w:pPr>
      <w:r w:rsidRPr="00DF2963">
        <w:rPr>
          <w:sz w:val="18"/>
          <w:szCs w:val="18"/>
          <w:lang w:val="en-GB"/>
        </w:rPr>
        <w:t>ASSESSMENT METHOD AND CRITERIA</w:t>
      </w:r>
    </w:p>
    <w:p w14:paraId="05FEF65C" w14:textId="5EBE78E9" w:rsidR="00A464F0" w:rsidRPr="00DF2963" w:rsidRDefault="00A66D32">
      <w:pPr>
        <w:pStyle w:val="P68B1DB1-Testo22"/>
        <w:rPr>
          <w:sz w:val="18"/>
          <w:lang w:val="en-GB"/>
        </w:rPr>
      </w:pPr>
      <w:r w:rsidRPr="00DF2963">
        <w:rPr>
          <w:sz w:val="18"/>
          <w:lang w:val="en-GB"/>
        </w:rPr>
        <w:t xml:space="preserve">The assessment is based on a paper that can be: 1) individual, should the student propose a theoretical reflection on the topics covered in the course; or 2) a group project, should a robot application project be proposed; in the paper, students should show an understanding of the basic principles of HRI. For both modalities, individual or group, each student then discusses the paper in the context of an interview with the lecturer, focused on deepening the theoretical and/or applicative aspects. The interview also includes questions on the topics addressed in class and the contents of the reading list indicated. </w:t>
      </w:r>
    </w:p>
    <w:p w14:paraId="213DD834" w14:textId="77777777" w:rsidR="00A464F0" w:rsidRPr="00DF2963" w:rsidRDefault="00A66D32">
      <w:pPr>
        <w:pStyle w:val="P68B1DB1-Normale1"/>
        <w:spacing w:before="240" w:after="120" w:line="240" w:lineRule="exact"/>
        <w:rPr>
          <w:sz w:val="18"/>
          <w:szCs w:val="18"/>
          <w:lang w:val="en-GB"/>
        </w:rPr>
      </w:pPr>
      <w:r w:rsidRPr="00DF2963">
        <w:rPr>
          <w:sz w:val="18"/>
          <w:szCs w:val="18"/>
          <w:lang w:val="en-GB"/>
        </w:rPr>
        <w:t>NOTES AND PREREQUISITES</w:t>
      </w:r>
    </w:p>
    <w:p w14:paraId="5C9BFFE1" w14:textId="77777777" w:rsidR="00A464F0" w:rsidRPr="00DF2963" w:rsidRDefault="00A66D32">
      <w:pPr>
        <w:pStyle w:val="P68B1DB1-NormaleWeb3"/>
        <w:spacing w:before="0" w:after="0" w:line="240" w:lineRule="exact"/>
        <w:ind w:left="284"/>
        <w:jc w:val="both"/>
        <w:rPr>
          <w:sz w:val="18"/>
          <w:lang w:val="en-GB"/>
        </w:rPr>
      </w:pPr>
      <w:r w:rsidRPr="00DF2963">
        <w:rPr>
          <w:sz w:val="18"/>
          <w:lang w:val="en-GB"/>
        </w:rPr>
        <w:t xml:space="preserve">There are no prerequisites for attending the course. </w:t>
      </w:r>
    </w:p>
    <w:p w14:paraId="3D4F77A7" w14:textId="77777777" w:rsidR="00A464F0" w:rsidRPr="00D17824" w:rsidRDefault="00A66D32">
      <w:pPr>
        <w:pStyle w:val="P68B1DB1-Normale4"/>
        <w:tabs>
          <w:tab w:val="clear" w:pos="284"/>
        </w:tabs>
        <w:spacing w:before="120" w:line="259" w:lineRule="auto"/>
        <w:ind w:firstLine="284"/>
        <w:jc w:val="left"/>
        <w:rPr>
          <w:lang w:val="en-GB"/>
        </w:rPr>
      </w:pPr>
      <w:r w:rsidRPr="00D17824">
        <w:rPr>
          <w:lang w:val="en-GB"/>
        </w:rPr>
        <w:t>Should the current Covid-19 health emergency not allow face-to-face teaching, remote teaching will be carried out following procedures that will be communicated in good time to students.</w:t>
      </w:r>
    </w:p>
    <w:p w14:paraId="6F229599" w14:textId="77777777" w:rsidR="00A464F0" w:rsidRPr="00D17824" w:rsidRDefault="00A66D32">
      <w:pPr>
        <w:pStyle w:val="P68B1DB1-Normale5"/>
        <w:spacing w:before="120"/>
        <w:ind w:firstLine="284"/>
        <w:rPr>
          <w:i/>
          <w:lang w:val="en-GB"/>
        </w:rPr>
      </w:pPr>
      <w:r w:rsidRPr="00D17824">
        <w:rPr>
          <w:lang w:val="en-GB"/>
        </w:rPr>
        <w:t>Further information can be found on the lecturer's webpage at http://docenti.unicatt.it/web/searchByName.do?language=ENG or on the Faculty notice board.</w:t>
      </w:r>
    </w:p>
    <w:p w14:paraId="10531B4E" w14:textId="77777777" w:rsidR="00A464F0" w:rsidRPr="00203DC0" w:rsidRDefault="00A464F0">
      <w:pPr>
        <w:pStyle w:val="Testo2"/>
        <w:rPr>
          <w:rFonts w:ascii="Times New Roman" w:hAnsi="Times New Roman"/>
          <w:sz w:val="20"/>
          <w:lang w:val="en-US"/>
        </w:rPr>
      </w:pPr>
    </w:p>
    <w:sectPr w:rsidR="00A464F0" w:rsidRPr="00203DC0">
      <w:pgSz w:w="11906" w:h="16838" w:code="9"/>
      <w:pgMar w:top="3546" w:right="2608" w:bottom="3467"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7A30F" w14:textId="77777777" w:rsidR="00641D62" w:rsidRDefault="00641D62">
      <w:pPr>
        <w:spacing w:line="240" w:lineRule="auto"/>
      </w:pPr>
      <w:r>
        <w:separator/>
      </w:r>
    </w:p>
  </w:endnote>
  <w:endnote w:type="continuationSeparator" w:id="0">
    <w:p w14:paraId="1F77D113" w14:textId="77777777" w:rsidR="00641D62" w:rsidRDefault="00641D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89FA5" w14:textId="77777777" w:rsidR="00641D62" w:rsidRDefault="00641D62">
      <w:pPr>
        <w:spacing w:line="240" w:lineRule="auto"/>
      </w:pPr>
      <w:r>
        <w:separator/>
      </w:r>
    </w:p>
  </w:footnote>
  <w:footnote w:type="continuationSeparator" w:id="0">
    <w:p w14:paraId="0B74FBF9" w14:textId="77777777" w:rsidR="00641D62" w:rsidRDefault="00641D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C4A3D"/>
    <w:multiLevelType w:val="hybridMultilevel"/>
    <w:tmpl w:val="8E76CC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5D"/>
    <w:rsid w:val="000336CD"/>
    <w:rsid w:val="00033FA9"/>
    <w:rsid w:val="00040606"/>
    <w:rsid w:val="000510D5"/>
    <w:rsid w:val="0005605E"/>
    <w:rsid w:val="00060C5F"/>
    <w:rsid w:val="000B0BDC"/>
    <w:rsid w:val="000B0C0C"/>
    <w:rsid w:val="000C0792"/>
    <w:rsid w:val="000E4090"/>
    <w:rsid w:val="000F3211"/>
    <w:rsid w:val="000F5E6E"/>
    <w:rsid w:val="001270D4"/>
    <w:rsid w:val="00160504"/>
    <w:rsid w:val="00160A7C"/>
    <w:rsid w:val="00166764"/>
    <w:rsid w:val="00187044"/>
    <w:rsid w:val="00187B99"/>
    <w:rsid w:val="00194413"/>
    <w:rsid w:val="001E6A3D"/>
    <w:rsid w:val="002014DD"/>
    <w:rsid w:val="00203DC0"/>
    <w:rsid w:val="00230D1C"/>
    <w:rsid w:val="002310C2"/>
    <w:rsid w:val="002457AC"/>
    <w:rsid w:val="002C7D08"/>
    <w:rsid w:val="002D2848"/>
    <w:rsid w:val="002D5E17"/>
    <w:rsid w:val="002E4F4E"/>
    <w:rsid w:val="00340448"/>
    <w:rsid w:val="00353B48"/>
    <w:rsid w:val="00354092"/>
    <w:rsid w:val="003667EF"/>
    <w:rsid w:val="00381260"/>
    <w:rsid w:val="00383E2C"/>
    <w:rsid w:val="00390D62"/>
    <w:rsid w:val="00394E42"/>
    <w:rsid w:val="003A6957"/>
    <w:rsid w:val="003B2095"/>
    <w:rsid w:val="003B423D"/>
    <w:rsid w:val="003C7114"/>
    <w:rsid w:val="003E4655"/>
    <w:rsid w:val="003F2D5C"/>
    <w:rsid w:val="004367BE"/>
    <w:rsid w:val="004534C0"/>
    <w:rsid w:val="00486F7C"/>
    <w:rsid w:val="004A3B96"/>
    <w:rsid w:val="004A53EC"/>
    <w:rsid w:val="004D1217"/>
    <w:rsid w:val="004D2F23"/>
    <w:rsid w:val="004D6008"/>
    <w:rsid w:val="004F1C94"/>
    <w:rsid w:val="004F4AB2"/>
    <w:rsid w:val="00515460"/>
    <w:rsid w:val="0052189E"/>
    <w:rsid w:val="005B0A86"/>
    <w:rsid w:val="005C5BE4"/>
    <w:rsid w:val="005C5E51"/>
    <w:rsid w:val="005E3E5C"/>
    <w:rsid w:val="005F3699"/>
    <w:rsid w:val="005F7828"/>
    <w:rsid w:val="0063624B"/>
    <w:rsid w:val="00640794"/>
    <w:rsid w:val="00641D62"/>
    <w:rsid w:val="00642E0B"/>
    <w:rsid w:val="006549B2"/>
    <w:rsid w:val="00664B17"/>
    <w:rsid w:val="0068084F"/>
    <w:rsid w:val="00691822"/>
    <w:rsid w:val="006950D3"/>
    <w:rsid w:val="0069579F"/>
    <w:rsid w:val="006A0ADE"/>
    <w:rsid w:val="006A7DC0"/>
    <w:rsid w:val="006F1772"/>
    <w:rsid w:val="00705B84"/>
    <w:rsid w:val="00711239"/>
    <w:rsid w:val="00726595"/>
    <w:rsid w:val="00747BF5"/>
    <w:rsid w:val="00777A48"/>
    <w:rsid w:val="00781584"/>
    <w:rsid w:val="0078657A"/>
    <w:rsid w:val="007913AD"/>
    <w:rsid w:val="00793AEB"/>
    <w:rsid w:val="007A520C"/>
    <w:rsid w:val="007B2C07"/>
    <w:rsid w:val="007C6221"/>
    <w:rsid w:val="007D250B"/>
    <w:rsid w:val="007D5457"/>
    <w:rsid w:val="007D5FFA"/>
    <w:rsid w:val="007F31BA"/>
    <w:rsid w:val="008176E6"/>
    <w:rsid w:val="00836261"/>
    <w:rsid w:val="0085188A"/>
    <w:rsid w:val="00851F12"/>
    <w:rsid w:val="00853E1D"/>
    <w:rsid w:val="00861200"/>
    <w:rsid w:val="00865D1E"/>
    <w:rsid w:val="00876E92"/>
    <w:rsid w:val="008865E4"/>
    <w:rsid w:val="0089323A"/>
    <w:rsid w:val="008942E7"/>
    <w:rsid w:val="008A1204"/>
    <w:rsid w:val="008D4333"/>
    <w:rsid w:val="008D7BA6"/>
    <w:rsid w:val="008F4B74"/>
    <w:rsid w:val="008F638B"/>
    <w:rsid w:val="00900ADA"/>
    <w:rsid w:val="00900CCA"/>
    <w:rsid w:val="00904BB9"/>
    <w:rsid w:val="00924B77"/>
    <w:rsid w:val="00931017"/>
    <w:rsid w:val="00935547"/>
    <w:rsid w:val="00940180"/>
    <w:rsid w:val="00940DA2"/>
    <w:rsid w:val="00950C61"/>
    <w:rsid w:val="0095705D"/>
    <w:rsid w:val="00967EF8"/>
    <w:rsid w:val="009972E8"/>
    <w:rsid w:val="009D70F3"/>
    <w:rsid w:val="009E055C"/>
    <w:rsid w:val="00A007D4"/>
    <w:rsid w:val="00A15288"/>
    <w:rsid w:val="00A464F0"/>
    <w:rsid w:val="00A66D32"/>
    <w:rsid w:val="00A74F6F"/>
    <w:rsid w:val="00A80B3E"/>
    <w:rsid w:val="00A81BA1"/>
    <w:rsid w:val="00A85FA8"/>
    <w:rsid w:val="00A86EF8"/>
    <w:rsid w:val="00AB0B04"/>
    <w:rsid w:val="00AD166C"/>
    <w:rsid w:val="00AD4851"/>
    <w:rsid w:val="00AD7557"/>
    <w:rsid w:val="00AE3726"/>
    <w:rsid w:val="00B04FE2"/>
    <w:rsid w:val="00B05ED7"/>
    <w:rsid w:val="00B21D18"/>
    <w:rsid w:val="00B253BE"/>
    <w:rsid w:val="00B37A70"/>
    <w:rsid w:val="00B418AF"/>
    <w:rsid w:val="00B45543"/>
    <w:rsid w:val="00B50BE4"/>
    <w:rsid w:val="00B50C5D"/>
    <w:rsid w:val="00B51253"/>
    <w:rsid w:val="00B525CC"/>
    <w:rsid w:val="00B64220"/>
    <w:rsid w:val="00B643A2"/>
    <w:rsid w:val="00B820BC"/>
    <w:rsid w:val="00B86138"/>
    <w:rsid w:val="00B946EB"/>
    <w:rsid w:val="00BB37A9"/>
    <w:rsid w:val="00BC3AF7"/>
    <w:rsid w:val="00BD303E"/>
    <w:rsid w:val="00BE3D4E"/>
    <w:rsid w:val="00C305ED"/>
    <w:rsid w:val="00C52C8C"/>
    <w:rsid w:val="00C63291"/>
    <w:rsid w:val="00C66661"/>
    <w:rsid w:val="00C71763"/>
    <w:rsid w:val="00C7689F"/>
    <w:rsid w:val="00CB5F3C"/>
    <w:rsid w:val="00CD2FF7"/>
    <w:rsid w:val="00CE5325"/>
    <w:rsid w:val="00CE7C6A"/>
    <w:rsid w:val="00D120CF"/>
    <w:rsid w:val="00D17824"/>
    <w:rsid w:val="00D2274C"/>
    <w:rsid w:val="00D25780"/>
    <w:rsid w:val="00D404F2"/>
    <w:rsid w:val="00D423D0"/>
    <w:rsid w:val="00D46E09"/>
    <w:rsid w:val="00D602B9"/>
    <w:rsid w:val="00D77237"/>
    <w:rsid w:val="00D84F43"/>
    <w:rsid w:val="00DE5436"/>
    <w:rsid w:val="00DF17F6"/>
    <w:rsid w:val="00DF1ADC"/>
    <w:rsid w:val="00DF2963"/>
    <w:rsid w:val="00DF7C50"/>
    <w:rsid w:val="00E12A58"/>
    <w:rsid w:val="00E607E6"/>
    <w:rsid w:val="00E63D46"/>
    <w:rsid w:val="00E70B27"/>
    <w:rsid w:val="00E73784"/>
    <w:rsid w:val="00E8685A"/>
    <w:rsid w:val="00E95542"/>
    <w:rsid w:val="00EB1ACD"/>
    <w:rsid w:val="00EB4D36"/>
    <w:rsid w:val="00EC5FA1"/>
    <w:rsid w:val="00F10EA6"/>
    <w:rsid w:val="00F32D51"/>
    <w:rsid w:val="00F337E1"/>
    <w:rsid w:val="00F634F6"/>
    <w:rsid w:val="00F75211"/>
    <w:rsid w:val="00F76A5A"/>
    <w:rsid w:val="00FA7C3B"/>
    <w:rsid w:val="00FC1178"/>
    <w:rsid w:val="00FE4E38"/>
    <w:rsid w:val="00FF7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C7ED7"/>
  <w15:docId w15:val="{40F410AE-4E2C-C948-B76E-A3045F6B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7D5FFA"/>
    <w:pPr>
      <w:tabs>
        <w:tab w:val="clear" w:pos="284"/>
      </w:tabs>
      <w:spacing w:after="200" w:line="276" w:lineRule="auto"/>
      <w:ind w:left="720"/>
      <w:contextualSpacing/>
      <w:jc w:val="left"/>
    </w:pPr>
    <w:rPr>
      <w:rFonts w:ascii="Calibri" w:eastAsia="Calibri" w:hAnsi="Calibri"/>
      <w:sz w:val="22"/>
    </w:rPr>
  </w:style>
  <w:style w:type="character" w:styleId="Collegamentoipertestuale">
    <w:name w:val="Hyperlink"/>
    <w:basedOn w:val="Carpredefinitoparagrafo"/>
    <w:uiPriority w:val="99"/>
    <w:unhideWhenUsed/>
    <w:rsid w:val="007D5FFA"/>
    <w:rPr>
      <w:color w:val="0563C1" w:themeColor="hyperlink"/>
      <w:u w:val="single"/>
    </w:rPr>
  </w:style>
  <w:style w:type="paragraph" w:styleId="Testonotaapidipagina">
    <w:name w:val="footnote text"/>
    <w:basedOn w:val="Normale"/>
    <w:link w:val="TestonotaapidipaginaCarattere"/>
    <w:rsid w:val="007D5FFA"/>
    <w:pPr>
      <w:spacing w:line="240" w:lineRule="auto"/>
    </w:pPr>
  </w:style>
  <w:style w:type="character" w:customStyle="1" w:styleId="TestonotaapidipaginaCarattere">
    <w:name w:val="Testo nota a piè di pagina Carattere"/>
    <w:basedOn w:val="Carpredefinitoparagrafo"/>
    <w:link w:val="Testonotaapidipagina"/>
    <w:rsid w:val="007D5FFA"/>
  </w:style>
  <w:style w:type="character" w:styleId="Rimandonotaapidipagina">
    <w:name w:val="footnote reference"/>
    <w:basedOn w:val="Carpredefinitoparagrafo"/>
    <w:rsid w:val="007D5FFA"/>
    <w:rPr>
      <w:vertAlign w:val="superscript"/>
    </w:rPr>
  </w:style>
  <w:style w:type="character" w:customStyle="1" w:styleId="Menzionenonrisolta1">
    <w:name w:val="Menzione non risolta1"/>
    <w:basedOn w:val="Carpredefinitoparagrafo"/>
    <w:uiPriority w:val="99"/>
    <w:semiHidden/>
    <w:unhideWhenUsed/>
    <w:rsid w:val="00AD4851"/>
    <w:rPr>
      <w:color w:val="605E5C"/>
      <w:shd w:val="clear" w:color="auto" w:fill="E1DFDD"/>
    </w:rPr>
  </w:style>
  <w:style w:type="paragraph" w:styleId="NormaleWeb">
    <w:name w:val="Normal (Web)"/>
    <w:basedOn w:val="Normale"/>
    <w:uiPriority w:val="99"/>
    <w:rsid w:val="0005605E"/>
    <w:pPr>
      <w:tabs>
        <w:tab w:val="clear" w:pos="284"/>
      </w:tabs>
      <w:suppressAutoHyphens/>
      <w:autoSpaceDN w:val="0"/>
      <w:spacing w:before="100" w:after="100" w:line="240" w:lineRule="auto"/>
      <w:jc w:val="left"/>
      <w:textAlignment w:val="baseline"/>
    </w:pPr>
    <w:rPr>
      <w:kern w:val="3"/>
      <w:sz w:val="24"/>
    </w:rPr>
  </w:style>
  <w:style w:type="paragraph" w:customStyle="1" w:styleId="Standard">
    <w:name w:val="Standard"/>
    <w:rsid w:val="0005605E"/>
    <w:pPr>
      <w:suppressAutoHyphens/>
      <w:autoSpaceDN w:val="0"/>
      <w:textAlignment w:val="baseline"/>
    </w:pPr>
    <w:rPr>
      <w:kern w:val="3"/>
    </w:rPr>
  </w:style>
  <w:style w:type="character" w:styleId="Rimandocommento">
    <w:name w:val="annotation reference"/>
    <w:basedOn w:val="Carpredefinitoparagrafo"/>
    <w:semiHidden/>
    <w:unhideWhenUsed/>
    <w:rsid w:val="00851F12"/>
    <w:rPr>
      <w:sz w:val="16"/>
    </w:rPr>
  </w:style>
  <w:style w:type="paragraph" w:styleId="Testocommento">
    <w:name w:val="annotation text"/>
    <w:basedOn w:val="Normale"/>
    <w:link w:val="TestocommentoCarattere"/>
    <w:semiHidden/>
    <w:unhideWhenUsed/>
    <w:rsid w:val="00851F12"/>
    <w:pPr>
      <w:spacing w:line="240" w:lineRule="auto"/>
    </w:pPr>
  </w:style>
  <w:style w:type="character" w:customStyle="1" w:styleId="TestocommentoCarattere">
    <w:name w:val="Testo commento Carattere"/>
    <w:basedOn w:val="Carpredefinitoparagrafo"/>
    <w:link w:val="Testocommento"/>
    <w:semiHidden/>
    <w:rsid w:val="00851F12"/>
  </w:style>
  <w:style w:type="paragraph" w:styleId="Soggettocommento">
    <w:name w:val="annotation subject"/>
    <w:basedOn w:val="Testocommento"/>
    <w:next w:val="Testocommento"/>
    <w:link w:val="SoggettocommentoCarattere"/>
    <w:semiHidden/>
    <w:unhideWhenUsed/>
    <w:rsid w:val="00851F12"/>
    <w:rPr>
      <w:b/>
    </w:rPr>
  </w:style>
  <w:style w:type="character" w:customStyle="1" w:styleId="SoggettocommentoCarattere">
    <w:name w:val="Soggetto commento Carattere"/>
    <w:basedOn w:val="TestocommentoCarattere"/>
    <w:link w:val="Soggettocommento"/>
    <w:semiHidden/>
    <w:rsid w:val="00851F12"/>
    <w:rPr>
      <w:b/>
    </w:rPr>
  </w:style>
  <w:style w:type="paragraph" w:styleId="Testofumetto">
    <w:name w:val="Balloon Text"/>
    <w:basedOn w:val="Normale"/>
    <w:link w:val="TestofumettoCarattere"/>
    <w:rsid w:val="00851F12"/>
    <w:pPr>
      <w:spacing w:line="240" w:lineRule="auto"/>
    </w:pPr>
    <w:rPr>
      <w:sz w:val="18"/>
    </w:rPr>
  </w:style>
  <w:style w:type="character" w:customStyle="1" w:styleId="TestofumettoCarattere">
    <w:name w:val="Testo fumetto Carattere"/>
    <w:basedOn w:val="Carpredefinitoparagrafo"/>
    <w:link w:val="Testofumetto"/>
    <w:rsid w:val="00851F12"/>
    <w:rPr>
      <w:sz w:val="18"/>
    </w:rPr>
  </w:style>
  <w:style w:type="paragraph" w:customStyle="1" w:styleId="P68B1DB1-Normale1">
    <w:name w:val="P68B1DB1-Normale1"/>
    <w:basedOn w:val="Normale"/>
    <w:rPr>
      <w:b/>
      <w:i/>
    </w:rPr>
  </w:style>
  <w:style w:type="paragraph" w:customStyle="1" w:styleId="P68B1DB1-Testo22">
    <w:name w:val="P68B1DB1-Testo22"/>
    <w:basedOn w:val="Testo2"/>
    <w:rPr>
      <w:rFonts w:ascii="Times New Roman" w:hAnsi="Times New Roman"/>
      <w:sz w:val="20"/>
    </w:rPr>
  </w:style>
  <w:style w:type="paragraph" w:customStyle="1" w:styleId="P68B1DB1-NormaleWeb3">
    <w:name w:val="P68B1DB1-NormaleWeb3"/>
    <w:basedOn w:val="NormaleWeb"/>
    <w:rPr>
      <w:kern w:val="0"/>
      <w:sz w:val="20"/>
    </w:rPr>
  </w:style>
  <w:style w:type="paragraph" w:customStyle="1" w:styleId="P68B1DB1-Normale4">
    <w:name w:val="P68B1DB1-Normale4"/>
    <w:basedOn w:val="Normale"/>
    <w:rPr>
      <w:rFonts w:eastAsiaTheme="minorHAnsi"/>
      <w:sz w:val="18"/>
    </w:rPr>
  </w:style>
  <w:style w:type="paragraph" w:customStyle="1" w:styleId="P68B1DB1-Normale5">
    <w:name w:val="P68B1DB1-Normale5"/>
    <w:basedOn w:val="Normale"/>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8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807E1-0017-4B7B-8E19-7F37D526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607</Words>
  <Characters>3468</Characters>
  <Application>Microsoft Office Word</Application>
  <DocSecurity>4</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2022-06-01T08:32:00Z</dcterms:created>
  <dcterms:modified xsi:type="dcterms:W3CDTF">2022-06-01T08:32:00Z</dcterms:modified>
</cp:coreProperties>
</file>