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40A7" w14:textId="77777777" w:rsidR="002A4C63" w:rsidRPr="00D86F8C" w:rsidRDefault="00945868">
      <w:pPr>
        <w:pStyle w:val="P68B1DB1-Normale1"/>
        <w:tabs>
          <w:tab w:val="left" w:pos="284"/>
        </w:tabs>
        <w:suppressAutoHyphens/>
        <w:spacing w:before="480" w:line="240" w:lineRule="exact"/>
        <w:rPr>
          <w:rFonts w:eastAsia="MS Mincho"/>
          <w:lang w:val="en-GB"/>
        </w:rPr>
      </w:pPr>
      <w:r w:rsidRPr="00D86F8C">
        <w:rPr>
          <w:lang w:val="en-GB"/>
        </w:rPr>
        <w:t>Psychology of Health</w:t>
      </w:r>
    </w:p>
    <w:p w14:paraId="0BF14E1A" w14:textId="7A64A080" w:rsidR="002A4C63" w:rsidRPr="00D86F8C" w:rsidRDefault="00945868">
      <w:pPr>
        <w:pStyle w:val="P68B1DB1-Titolo22"/>
        <w:rPr>
          <w:lang w:val="en-GB"/>
        </w:rPr>
      </w:pPr>
      <w:r w:rsidRPr="00D86F8C">
        <w:rPr>
          <w:lang w:val="en-GB"/>
        </w:rPr>
        <w:t>Prof. Emanuela Saita</w:t>
      </w:r>
    </w:p>
    <w:p w14:paraId="1DA5FE7F" w14:textId="0FE77840" w:rsidR="002A4C63" w:rsidRPr="00901AC1" w:rsidRDefault="00945868">
      <w:pPr>
        <w:pStyle w:val="P68B1DB1-Normale3"/>
        <w:spacing w:before="240" w:after="120"/>
        <w:rPr>
          <w:sz w:val="18"/>
          <w:lang w:val="en-GB"/>
        </w:rPr>
      </w:pPr>
      <w:r w:rsidRPr="00901AC1">
        <w:rPr>
          <w:sz w:val="18"/>
          <w:lang w:val="en-GB"/>
        </w:rPr>
        <w:t>COURSE AIMS AND INTENDED LEARNING OUTCOMES</w:t>
      </w:r>
    </w:p>
    <w:p w14:paraId="362AF608" w14:textId="77777777" w:rsidR="002A4C63" w:rsidRPr="00456593" w:rsidRDefault="00945868">
      <w:pPr>
        <w:pStyle w:val="Testocommento"/>
        <w:jc w:val="both"/>
        <w:rPr>
          <w:lang w:val="en-GB"/>
        </w:rPr>
      </w:pPr>
      <w:r w:rsidRPr="00D86F8C">
        <w:rPr>
          <w:lang w:val="en-GB"/>
        </w:rPr>
        <w:t xml:space="preserve">Health Psychology addresses the psychological factors (cognitive, emotional, psychosocial and behavioural) underlying the health status of individuals as well as disease prevention and curative behaviours. The course aims to teach students about the main issues related to health and disease from a psychological point of view, considering the theoretical and applicative implications in the different contexts of health and </w:t>
      </w:r>
      <w:r w:rsidRPr="00456593">
        <w:rPr>
          <w:lang w:val="en-GB"/>
        </w:rPr>
        <w:t xml:space="preserve">disease. </w:t>
      </w:r>
    </w:p>
    <w:p w14:paraId="479414AF" w14:textId="1ACCD588" w:rsidR="002A4C63" w:rsidRPr="00456593" w:rsidRDefault="00945868">
      <w:pPr>
        <w:pStyle w:val="P68B1DB1-Normale4"/>
        <w:jc w:val="both"/>
        <w:rPr>
          <w:lang w:val="en-GB"/>
        </w:rPr>
      </w:pPr>
      <w:r w:rsidRPr="00456593">
        <w:rPr>
          <w:lang w:val="en-GB"/>
        </w:rPr>
        <w:t>Intended learning outcomes</w:t>
      </w:r>
    </w:p>
    <w:p w14:paraId="04212163" w14:textId="7F7E3D43" w:rsidR="002A4C63" w:rsidRPr="00D86F8C" w:rsidRDefault="00945868">
      <w:pPr>
        <w:pStyle w:val="Testocommento"/>
        <w:jc w:val="both"/>
        <w:rPr>
          <w:lang w:val="en-GB"/>
        </w:rPr>
      </w:pPr>
      <w:r w:rsidRPr="00456593">
        <w:rPr>
          <w:lang w:val="en-GB"/>
        </w:rPr>
        <w:t xml:space="preserve">At the end of the course, students will know the main theoretical models </w:t>
      </w:r>
      <w:r w:rsidR="00221807" w:rsidRPr="00456593">
        <w:t>(</w:t>
      </w:r>
      <w:r w:rsidR="001F6303" w:rsidRPr="00456593">
        <w:t>as outlined in the programme below)</w:t>
      </w:r>
      <w:r w:rsidR="00221807" w:rsidRPr="00456593">
        <w:t xml:space="preserve"> </w:t>
      </w:r>
      <w:r w:rsidR="001F6303" w:rsidRPr="00456593">
        <w:t>about health and illness</w:t>
      </w:r>
      <w:r w:rsidR="00D01AB1" w:rsidRPr="00456593">
        <w:t>, as well as the</w:t>
      </w:r>
      <w:r w:rsidR="001F6303" w:rsidRPr="00456593">
        <w:t xml:space="preserve"> </w:t>
      </w:r>
      <w:r w:rsidR="00D01AB1" w:rsidRPr="00456593">
        <w:rPr>
          <w:lang w:val="en-GB"/>
        </w:rPr>
        <w:t>methodological aspects based on dyadic coping styles</w:t>
      </w:r>
      <w:r w:rsidR="00D01AB1" w:rsidRPr="00456593">
        <w:t xml:space="preserve"> </w:t>
      </w:r>
      <w:r w:rsidRPr="00456593">
        <w:rPr>
          <w:lang w:val="en-GB"/>
        </w:rPr>
        <w:t>applied to health promotion and the treatment of diseases.</w:t>
      </w:r>
    </w:p>
    <w:p w14:paraId="5BB21BC8" w14:textId="77777777" w:rsidR="002A4C63" w:rsidRPr="00901AC1" w:rsidRDefault="00945868">
      <w:pPr>
        <w:pStyle w:val="P68B1DB1-Normale3"/>
        <w:spacing w:before="240" w:after="120"/>
        <w:rPr>
          <w:sz w:val="18"/>
          <w:lang w:val="en-GB"/>
        </w:rPr>
      </w:pPr>
      <w:r w:rsidRPr="00901AC1">
        <w:rPr>
          <w:sz w:val="18"/>
          <w:lang w:val="en-GB"/>
        </w:rPr>
        <w:t>COURSE CONTENT</w:t>
      </w:r>
    </w:p>
    <w:p w14:paraId="5AE0C1A3" w14:textId="048654A0" w:rsidR="002A4C63" w:rsidRPr="00D86F8C" w:rsidRDefault="00945868">
      <w:pPr>
        <w:pStyle w:val="P68B1DB1-Normale5"/>
        <w:jc w:val="both"/>
        <w:rPr>
          <w:lang w:val="en-GB"/>
        </w:rPr>
      </w:pPr>
      <w:r w:rsidRPr="00D86F8C">
        <w:rPr>
          <w:lang w:val="en-GB"/>
        </w:rPr>
        <w:t>In more detail, the course will be divided into the following units:</w:t>
      </w:r>
    </w:p>
    <w:p w14:paraId="7B717F53" w14:textId="7945D38E" w:rsidR="002A4C63" w:rsidRPr="00D86F8C" w:rsidRDefault="00945868">
      <w:pPr>
        <w:pStyle w:val="P68B1DB1-Normale5"/>
        <w:jc w:val="both"/>
        <w:rPr>
          <w:lang w:val="en-GB"/>
        </w:rPr>
      </w:pPr>
      <w:r w:rsidRPr="00D86F8C">
        <w:rPr>
          <w:i/>
          <w:lang w:val="en-GB"/>
        </w:rPr>
        <w:t>Unit 1 -</w:t>
      </w:r>
      <w:r w:rsidRPr="00D86F8C">
        <w:rPr>
          <w:lang w:val="en-GB"/>
        </w:rPr>
        <w:tab/>
      </w:r>
      <w:r>
        <w:rPr>
          <w:lang w:val="en-GB"/>
        </w:rPr>
        <w:t>R</w:t>
      </w:r>
      <w:r w:rsidRPr="00D86F8C">
        <w:rPr>
          <w:lang w:val="en-GB"/>
        </w:rPr>
        <w:t xml:space="preserve">epresentations of health and disease and the implications for well-being: </w:t>
      </w:r>
    </w:p>
    <w:p w14:paraId="4C2E8FAF" w14:textId="06D1E367" w:rsidR="002A4C63" w:rsidRPr="00D86F8C" w:rsidRDefault="00945868" w:rsidP="00945868">
      <w:pPr>
        <w:pStyle w:val="P68B1DB1-Normale5"/>
        <w:ind w:left="284"/>
        <w:jc w:val="both"/>
        <w:rPr>
          <w:shd w:val="clear" w:color="auto" w:fill="FFFFFF"/>
          <w:lang w:val="en-GB"/>
        </w:rPr>
      </w:pPr>
      <w:r w:rsidRPr="00D86F8C">
        <w:rPr>
          <w:lang w:val="en-GB"/>
        </w:rPr>
        <w:t xml:space="preserve">- </w:t>
      </w:r>
      <w:r w:rsidRPr="00D86F8C">
        <w:rPr>
          <w:shd w:val="clear" w:color="auto" w:fill="FFFFFF"/>
          <w:lang w:val="en-GB"/>
        </w:rPr>
        <w:t xml:space="preserve">concepts of health, illness and care as aspects of the symbolic sphere in society; </w:t>
      </w:r>
      <w:r w:rsidRPr="00D86F8C">
        <w:rPr>
          <w:lang w:val="en-GB"/>
        </w:rPr>
        <w:t xml:space="preserve"> </w:t>
      </w:r>
    </w:p>
    <w:p w14:paraId="314B0238" w14:textId="77777777" w:rsidR="002A4C63" w:rsidRPr="00D86F8C" w:rsidRDefault="00945868">
      <w:pPr>
        <w:pStyle w:val="P68B1DB1-Normale6"/>
        <w:ind w:firstLine="284"/>
        <w:jc w:val="both"/>
        <w:rPr>
          <w:lang w:val="en-GB"/>
        </w:rPr>
      </w:pPr>
      <w:r w:rsidRPr="00D86F8C">
        <w:rPr>
          <w:lang w:val="en-GB"/>
        </w:rPr>
        <w:t>- scientific communication and common sense in forming the representation of COVID19.</w:t>
      </w:r>
    </w:p>
    <w:p w14:paraId="25A0E96D" w14:textId="7CBECF11" w:rsidR="002A4C63" w:rsidRPr="00D86F8C" w:rsidRDefault="00945868">
      <w:pPr>
        <w:pStyle w:val="P68B1DB1-Normale5"/>
        <w:jc w:val="both"/>
        <w:rPr>
          <w:lang w:val="en-GB"/>
        </w:rPr>
      </w:pPr>
      <w:r w:rsidRPr="00D86F8C">
        <w:rPr>
          <w:i/>
          <w:lang w:val="en-GB"/>
        </w:rPr>
        <w:t>Unit 2 -</w:t>
      </w:r>
      <w:r w:rsidRPr="00D86F8C">
        <w:rPr>
          <w:lang w:val="en-GB"/>
        </w:rPr>
        <w:tab/>
        <w:t>The link between body and mind:</w:t>
      </w:r>
    </w:p>
    <w:p w14:paraId="2927AE3A" w14:textId="77777777" w:rsidR="002A4C63" w:rsidRPr="00D86F8C" w:rsidRDefault="00945868">
      <w:pPr>
        <w:pStyle w:val="P68B1DB1-Normale5"/>
        <w:ind w:firstLine="284"/>
        <w:jc w:val="both"/>
        <w:rPr>
          <w:lang w:val="en-GB"/>
        </w:rPr>
      </w:pPr>
      <w:r w:rsidRPr="00D86F8C">
        <w:rPr>
          <w:lang w:val="en-GB"/>
        </w:rPr>
        <w:t>- body-mind dualism;</w:t>
      </w:r>
    </w:p>
    <w:p w14:paraId="7253A050" w14:textId="77777777" w:rsidR="002A4C63" w:rsidRPr="00D86F8C" w:rsidRDefault="00945868">
      <w:pPr>
        <w:pStyle w:val="P68B1DB1-Normale5"/>
        <w:jc w:val="both"/>
        <w:rPr>
          <w:lang w:val="en-GB"/>
        </w:rPr>
      </w:pPr>
      <w:r w:rsidRPr="00D86F8C">
        <w:rPr>
          <w:lang w:val="en-GB"/>
        </w:rPr>
        <w:tab/>
        <w:t>- psychosomatic medicine;</w:t>
      </w:r>
    </w:p>
    <w:p w14:paraId="0D3A1494" w14:textId="77777777" w:rsidR="002A4C63" w:rsidRPr="00D86F8C" w:rsidRDefault="00945868">
      <w:pPr>
        <w:pStyle w:val="P68B1DB1-Normale5"/>
        <w:ind w:left="284"/>
        <w:jc w:val="both"/>
        <w:rPr>
          <w:lang w:val="en-GB"/>
        </w:rPr>
      </w:pPr>
      <w:r w:rsidRPr="00D86F8C">
        <w:rPr>
          <w:lang w:val="en-GB"/>
        </w:rPr>
        <w:t>- the origin and meaning of somatic symptoms according to the Multiple Code Theory;</w:t>
      </w:r>
    </w:p>
    <w:p w14:paraId="08341A75" w14:textId="77777777" w:rsidR="002A4C63" w:rsidRPr="00D86F8C" w:rsidRDefault="00945868">
      <w:pPr>
        <w:pStyle w:val="P68B1DB1-Normale5"/>
        <w:ind w:firstLine="284"/>
        <w:jc w:val="both"/>
        <w:rPr>
          <w:lang w:val="en-GB"/>
        </w:rPr>
      </w:pPr>
      <w:r w:rsidRPr="00D86F8C">
        <w:rPr>
          <w:lang w:val="en-GB"/>
        </w:rPr>
        <w:t>- the body's communication according to the thinking of De Toffoli.</w:t>
      </w:r>
    </w:p>
    <w:p w14:paraId="51E79FD1" w14:textId="3C49809E" w:rsidR="002A4C63" w:rsidRPr="00D86F8C" w:rsidRDefault="00945868">
      <w:pPr>
        <w:pStyle w:val="Testocommento"/>
        <w:jc w:val="both"/>
        <w:rPr>
          <w:lang w:val="en-GB"/>
        </w:rPr>
      </w:pPr>
      <w:r w:rsidRPr="00D86F8C">
        <w:rPr>
          <w:i/>
          <w:lang w:val="en-GB"/>
        </w:rPr>
        <w:t>Unit 3 -</w:t>
      </w:r>
      <w:r>
        <w:rPr>
          <w:i/>
          <w:lang w:val="en-GB"/>
        </w:rPr>
        <w:tab/>
      </w:r>
      <w:r w:rsidRPr="00D86F8C">
        <w:rPr>
          <w:lang w:val="en-GB"/>
        </w:rPr>
        <w:t>Methodological aspects in health and disease research:</w:t>
      </w:r>
    </w:p>
    <w:p w14:paraId="3DEB004C" w14:textId="77777777" w:rsidR="002A4C63" w:rsidRPr="00D86F8C" w:rsidRDefault="00945868">
      <w:pPr>
        <w:pStyle w:val="Testocommento"/>
        <w:ind w:left="280"/>
        <w:jc w:val="both"/>
        <w:rPr>
          <w:lang w:val="en-GB"/>
        </w:rPr>
      </w:pPr>
      <w:r w:rsidRPr="00D86F8C">
        <w:rPr>
          <w:lang w:val="en-GB"/>
        </w:rPr>
        <w:t xml:space="preserve">- ethical considerations in health psychology research; </w:t>
      </w:r>
    </w:p>
    <w:p w14:paraId="7B77489C" w14:textId="77777777" w:rsidR="002A4C63" w:rsidRPr="00D86F8C" w:rsidRDefault="00945868">
      <w:pPr>
        <w:pStyle w:val="Testocommento"/>
        <w:ind w:left="280"/>
        <w:jc w:val="both"/>
        <w:rPr>
          <w:lang w:val="en-GB"/>
        </w:rPr>
      </w:pPr>
      <w:r w:rsidRPr="00D86F8C">
        <w:rPr>
          <w:lang w:val="en-GB"/>
        </w:rPr>
        <w:t>- the need to adopt a multi-method research procedure;</w:t>
      </w:r>
    </w:p>
    <w:p w14:paraId="2A29832E" w14:textId="77777777" w:rsidR="002A4C63" w:rsidRPr="00D86F8C" w:rsidRDefault="00945868">
      <w:pPr>
        <w:pStyle w:val="Testocommento"/>
        <w:jc w:val="both"/>
        <w:rPr>
          <w:lang w:val="en-GB"/>
        </w:rPr>
      </w:pPr>
      <w:r w:rsidRPr="00D86F8C">
        <w:rPr>
          <w:lang w:val="en-GB"/>
        </w:rPr>
        <w:tab/>
        <w:t>- research with patient-caregiver dyads.</w:t>
      </w:r>
    </w:p>
    <w:p w14:paraId="159A54F4" w14:textId="47B98881" w:rsidR="002A4C63" w:rsidRPr="00D86F8C" w:rsidRDefault="00945868">
      <w:pPr>
        <w:pStyle w:val="Testocommento"/>
        <w:jc w:val="both"/>
        <w:rPr>
          <w:lang w:val="en-GB"/>
        </w:rPr>
      </w:pPr>
      <w:r w:rsidRPr="00D86F8C">
        <w:rPr>
          <w:i/>
          <w:lang w:val="en-GB"/>
        </w:rPr>
        <w:t>Unit 4 -</w:t>
      </w:r>
      <w:r w:rsidRPr="00D86F8C">
        <w:rPr>
          <w:lang w:val="en-GB"/>
        </w:rPr>
        <w:tab/>
        <w:t>Events and lifestyles in relation to health and disease:</w:t>
      </w:r>
    </w:p>
    <w:p w14:paraId="5CB9D4ED" w14:textId="77777777" w:rsidR="002A4C63" w:rsidRPr="00D86F8C" w:rsidRDefault="00945868">
      <w:pPr>
        <w:pStyle w:val="Testocommento"/>
        <w:ind w:left="284"/>
        <w:jc w:val="both"/>
        <w:rPr>
          <w:lang w:val="en-GB"/>
        </w:rPr>
      </w:pPr>
      <w:r w:rsidRPr="00D86F8C">
        <w:rPr>
          <w:lang w:val="en-GB"/>
        </w:rPr>
        <w:t>- risk factors in disease prevention and health promotion;</w:t>
      </w:r>
    </w:p>
    <w:p w14:paraId="602A8274" w14:textId="77777777" w:rsidR="002A4C63" w:rsidRPr="00D86F8C" w:rsidRDefault="00945868">
      <w:pPr>
        <w:pStyle w:val="Testocommento"/>
        <w:ind w:left="284"/>
        <w:jc w:val="both"/>
        <w:rPr>
          <w:lang w:val="en-GB"/>
        </w:rPr>
      </w:pPr>
      <w:r w:rsidRPr="00D86F8C">
        <w:rPr>
          <w:lang w:val="en-GB"/>
        </w:rPr>
        <w:t>- keynotes on the immune system.</w:t>
      </w:r>
    </w:p>
    <w:p w14:paraId="59DB8DBB" w14:textId="6AD7F7BA" w:rsidR="002A4C63" w:rsidRPr="00D86F8C" w:rsidRDefault="00945868">
      <w:pPr>
        <w:pStyle w:val="Testocommento"/>
        <w:jc w:val="both"/>
        <w:rPr>
          <w:lang w:val="en-GB"/>
        </w:rPr>
      </w:pPr>
      <w:r w:rsidRPr="00D86F8C">
        <w:rPr>
          <w:i/>
          <w:lang w:val="en-GB"/>
        </w:rPr>
        <w:t>Unit 5 -</w:t>
      </w:r>
      <w:r>
        <w:rPr>
          <w:i/>
          <w:lang w:val="en-GB"/>
        </w:rPr>
        <w:tab/>
      </w:r>
      <w:r w:rsidRPr="00D86F8C">
        <w:rPr>
          <w:lang w:val="en-GB"/>
        </w:rPr>
        <w:t>The emotional components:</w:t>
      </w:r>
    </w:p>
    <w:p w14:paraId="56D926DC" w14:textId="77777777" w:rsidR="002A4C63" w:rsidRPr="00D86F8C" w:rsidRDefault="00945868">
      <w:pPr>
        <w:pStyle w:val="Testocommento"/>
        <w:ind w:firstLine="284"/>
        <w:jc w:val="both"/>
        <w:rPr>
          <w:lang w:val="en-GB"/>
        </w:rPr>
      </w:pPr>
      <w:r w:rsidRPr="00D86F8C">
        <w:rPr>
          <w:lang w:val="en-GB"/>
        </w:rPr>
        <w:t>- emotions and health;</w:t>
      </w:r>
    </w:p>
    <w:p w14:paraId="63B49D49" w14:textId="77777777" w:rsidR="002A4C63" w:rsidRPr="00D86F8C" w:rsidRDefault="00945868">
      <w:pPr>
        <w:pStyle w:val="Testocommento"/>
        <w:ind w:firstLine="284"/>
        <w:jc w:val="both"/>
        <w:rPr>
          <w:lang w:val="en-GB"/>
        </w:rPr>
      </w:pPr>
      <w:r w:rsidRPr="00D86F8C">
        <w:rPr>
          <w:lang w:val="en-GB"/>
        </w:rPr>
        <w:t>- alexithymia and affective regulation;</w:t>
      </w:r>
    </w:p>
    <w:p w14:paraId="2302F1C8" w14:textId="77777777" w:rsidR="002A4C63" w:rsidRPr="00D86F8C" w:rsidRDefault="00945868">
      <w:pPr>
        <w:pStyle w:val="Testocommento"/>
        <w:ind w:firstLine="284"/>
        <w:jc w:val="both"/>
        <w:rPr>
          <w:lang w:val="en-GB"/>
        </w:rPr>
      </w:pPr>
      <w:r w:rsidRPr="00D86F8C">
        <w:rPr>
          <w:lang w:val="en-GB"/>
        </w:rPr>
        <w:t>- psychobiological regulation.</w:t>
      </w:r>
    </w:p>
    <w:p w14:paraId="43024D96" w14:textId="45500CBC" w:rsidR="002A4C63" w:rsidRPr="00D86F8C" w:rsidRDefault="00945868">
      <w:pPr>
        <w:pStyle w:val="Testocommento"/>
        <w:jc w:val="both"/>
        <w:rPr>
          <w:lang w:val="en-GB"/>
        </w:rPr>
      </w:pPr>
      <w:r w:rsidRPr="00D86F8C">
        <w:rPr>
          <w:i/>
          <w:lang w:val="en-GB"/>
        </w:rPr>
        <w:lastRenderedPageBreak/>
        <w:t>Unit 6 -</w:t>
      </w:r>
      <w:r w:rsidRPr="00D86F8C">
        <w:rPr>
          <w:lang w:val="en-GB"/>
        </w:rPr>
        <w:tab/>
        <w:t>Coping styles and resilience factors:</w:t>
      </w:r>
    </w:p>
    <w:p w14:paraId="4A675BB8" w14:textId="77777777" w:rsidR="002A4C63" w:rsidRPr="00D86F8C" w:rsidRDefault="00945868">
      <w:pPr>
        <w:pStyle w:val="Testocommento"/>
        <w:ind w:left="284" w:hanging="284"/>
        <w:jc w:val="both"/>
        <w:rPr>
          <w:lang w:val="en-GB"/>
        </w:rPr>
      </w:pPr>
      <w:r w:rsidRPr="00D86F8C">
        <w:rPr>
          <w:lang w:val="en-GB"/>
        </w:rPr>
        <w:tab/>
        <w:t>- coping styles;</w:t>
      </w:r>
    </w:p>
    <w:p w14:paraId="7A366EB8" w14:textId="77777777" w:rsidR="002A4C63" w:rsidRPr="00D86F8C" w:rsidRDefault="00945868">
      <w:pPr>
        <w:pStyle w:val="Testocommento"/>
        <w:ind w:left="284" w:hanging="284"/>
        <w:jc w:val="both"/>
        <w:rPr>
          <w:lang w:val="en-GB"/>
        </w:rPr>
      </w:pPr>
      <w:r w:rsidRPr="00D86F8C">
        <w:rPr>
          <w:lang w:val="en-GB"/>
        </w:rPr>
        <w:tab/>
        <w:t>- dyadic coping;</w:t>
      </w:r>
    </w:p>
    <w:p w14:paraId="1542709F" w14:textId="77777777" w:rsidR="002A4C63" w:rsidRPr="00D86F8C" w:rsidRDefault="00945868">
      <w:pPr>
        <w:pStyle w:val="Testocommento"/>
        <w:ind w:left="284" w:hanging="284"/>
        <w:jc w:val="both"/>
        <w:rPr>
          <w:lang w:val="en-GB"/>
        </w:rPr>
      </w:pPr>
      <w:r w:rsidRPr="00D86F8C">
        <w:rPr>
          <w:lang w:val="en-GB"/>
        </w:rPr>
        <w:tab/>
        <w:t>- resilience factors.</w:t>
      </w:r>
    </w:p>
    <w:p w14:paraId="30E74D45" w14:textId="235DA57A" w:rsidR="002A4C63" w:rsidRPr="00D86F8C" w:rsidRDefault="00945868">
      <w:pPr>
        <w:pStyle w:val="Testocommento"/>
        <w:ind w:left="284" w:hanging="284"/>
        <w:jc w:val="both"/>
        <w:rPr>
          <w:lang w:val="en-GB"/>
        </w:rPr>
      </w:pPr>
      <w:r w:rsidRPr="00D86F8C">
        <w:rPr>
          <w:i/>
          <w:lang w:val="en-GB"/>
        </w:rPr>
        <w:t>Unit 7 -</w:t>
      </w:r>
      <w:r>
        <w:rPr>
          <w:lang w:val="en-GB"/>
        </w:rPr>
        <w:tab/>
      </w:r>
      <w:r w:rsidRPr="00D86F8C">
        <w:rPr>
          <w:lang w:val="en-GB"/>
        </w:rPr>
        <w:t xml:space="preserve">Psychological support in situations of illness: </w:t>
      </w:r>
    </w:p>
    <w:p w14:paraId="348C0AD0" w14:textId="77777777" w:rsidR="002A4C63" w:rsidRPr="00D86F8C" w:rsidRDefault="00945868">
      <w:pPr>
        <w:pStyle w:val="Testocommento"/>
        <w:ind w:left="284"/>
        <w:jc w:val="both"/>
        <w:rPr>
          <w:lang w:val="en-GB"/>
        </w:rPr>
      </w:pPr>
      <w:r w:rsidRPr="00D86F8C">
        <w:rPr>
          <w:lang w:val="en-GB"/>
        </w:rPr>
        <w:t>- the psychologist and health;</w:t>
      </w:r>
    </w:p>
    <w:p w14:paraId="7B87909F" w14:textId="3BAABFFD" w:rsidR="002A4C63" w:rsidRPr="00D86F8C" w:rsidRDefault="00945868">
      <w:pPr>
        <w:pStyle w:val="Testocommento"/>
        <w:ind w:left="284"/>
        <w:jc w:val="both"/>
        <w:rPr>
          <w:lang w:val="en-GB"/>
        </w:rPr>
      </w:pPr>
      <w:r w:rsidRPr="00D86F8C">
        <w:rPr>
          <w:lang w:val="en-GB"/>
        </w:rPr>
        <w:t>- support for the patient-caregiver dyad.</w:t>
      </w:r>
    </w:p>
    <w:p w14:paraId="1AC41368" w14:textId="15F6E6E1" w:rsidR="002A4C63" w:rsidRPr="00D86F8C" w:rsidRDefault="00945868">
      <w:pPr>
        <w:pStyle w:val="Testocommento"/>
        <w:jc w:val="both"/>
        <w:rPr>
          <w:lang w:val="en-GB"/>
        </w:rPr>
      </w:pPr>
      <w:r w:rsidRPr="00D86F8C">
        <w:rPr>
          <w:i/>
          <w:lang w:val="en-GB"/>
        </w:rPr>
        <w:t>Unit 8 -</w:t>
      </w:r>
      <w:r>
        <w:rPr>
          <w:lang w:val="en-GB"/>
        </w:rPr>
        <w:tab/>
      </w:r>
      <w:r w:rsidRPr="00D86F8C">
        <w:rPr>
          <w:lang w:val="en-GB"/>
        </w:rPr>
        <w:t>Family dynamics in oncological disease:</w:t>
      </w:r>
    </w:p>
    <w:p w14:paraId="6F294921" w14:textId="77777777" w:rsidR="002A4C63" w:rsidRPr="00D86F8C" w:rsidRDefault="00945868">
      <w:pPr>
        <w:pStyle w:val="Testocommento"/>
        <w:jc w:val="both"/>
        <w:rPr>
          <w:lang w:val="en-GB"/>
        </w:rPr>
      </w:pPr>
      <w:r w:rsidRPr="00D86F8C">
        <w:rPr>
          <w:lang w:val="en-GB"/>
        </w:rPr>
        <w:tab/>
        <w:t>- cancer in the various life stages;</w:t>
      </w:r>
    </w:p>
    <w:p w14:paraId="1DE77AB7" w14:textId="77777777" w:rsidR="002A4C63" w:rsidRPr="00D86F8C" w:rsidRDefault="00945868">
      <w:pPr>
        <w:pStyle w:val="Testocommento"/>
        <w:jc w:val="both"/>
        <w:rPr>
          <w:lang w:val="en-GB"/>
        </w:rPr>
      </w:pPr>
      <w:r w:rsidRPr="00D86F8C">
        <w:rPr>
          <w:lang w:val="en-GB"/>
        </w:rPr>
        <w:tab/>
        <w:t>- the bonds that heal.</w:t>
      </w:r>
    </w:p>
    <w:p w14:paraId="545B7E8B" w14:textId="6CF3EB7D" w:rsidR="002A4C63" w:rsidRPr="00D86F8C" w:rsidRDefault="00945868">
      <w:pPr>
        <w:pStyle w:val="Testocommento"/>
        <w:ind w:left="280" w:hanging="280"/>
        <w:jc w:val="both"/>
        <w:rPr>
          <w:lang w:val="en-GB"/>
        </w:rPr>
      </w:pPr>
      <w:r w:rsidRPr="00D86F8C">
        <w:rPr>
          <w:i/>
          <w:lang w:val="en-GB"/>
        </w:rPr>
        <w:t>Unit 9 -</w:t>
      </w:r>
      <w:r w:rsidRPr="00D86F8C">
        <w:rPr>
          <w:lang w:val="en-GB"/>
        </w:rPr>
        <w:tab/>
        <w:t>Health promotion in "total institutions":</w:t>
      </w:r>
    </w:p>
    <w:p w14:paraId="55127FF3" w14:textId="77777777" w:rsidR="002A4C63" w:rsidRPr="00D86F8C" w:rsidRDefault="00945868">
      <w:pPr>
        <w:pStyle w:val="Testocommento"/>
        <w:ind w:left="280"/>
        <w:jc w:val="both"/>
        <w:rPr>
          <w:lang w:val="en-GB"/>
        </w:rPr>
      </w:pPr>
      <w:r w:rsidRPr="00D86F8C">
        <w:rPr>
          <w:lang w:val="en-GB"/>
        </w:rPr>
        <w:t>- health in hospital;</w:t>
      </w:r>
    </w:p>
    <w:p w14:paraId="41C364DE" w14:textId="77777777" w:rsidR="002A4C63" w:rsidRPr="00D86F8C" w:rsidRDefault="00945868">
      <w:pPr>
        <w:pStyle w:val="Testocommento"/>
        <w:ind w:left="280"/>
        <w:jc w:val="both"/>
        <w:rPr>
          <w:lang w:val="en-GB"/>
        </w:rPr>
      </w:pPr>
      <w:r w:rsidRPr="00D86F8C">
        <w:rPr>
          <w:lang w:val="en-GB"/>
        </w:rPr>
        <w:t>- health in prisons.</w:t>
      </w:r>
    </w:p>
    <w:p w14:paraId="00017F74" w14:textId="77777777" w:rsidR="002A4C63" w:rsidRPr="000F6641" w:rsidRDefault="00945868">
      <w:pPr>
        <w:pStyle w:val="P68B1DB1-Normale3"/>
        <w:spacing w:before="240" w:after="120"/>
      </w:pPr>
      <w:r w:rsidRPr="000F6641">
        <w:t>READING LIST</w:t>
      </w:r>
    </w:p>
    <w:p w14:paraId="548340B5" w14:textId="3C0414F0" w:rsidR="002A4C63" w:rsidRPr="00901AC1" w:rsidRDefault="00945868">
      <w:pPr>
        <w:pStyle w:val="P68B1DB1-Normale5"/>
        <w:spacing w:line="240" w:lineRule="exact"/>
        <w:rPr>
          <w:sz w:val="18"/>
          <w:szCs w:val="18"/>
        </w:rPr>
      </w:pPr>
      <w:r w:rsidRPr="00901AC1">
        <w:rPr>
          <w:smallCaps/>
          <w:sz w:val="16"/>
          <w:szCs w:val="18"/>
        </w:rPr>
        <w:t>L. Solano</w:t>
      </w:r>
      <w:r w:rsidRPr="00901AC1">
        <w:rPr>
          <w:sz w:val="16"/>
          <w:szCs w:val="18"/>
        </w:rPr>
        <w:t xml:space="preserve"> </w:t>
      </w:r>
      <w:r w:rsidRPr="00901AC1">
        <w:rPr>
          <w:sz w:val="18"/>
          <w:szCs w:val="18"/>
        </w:rPr>
        <w:t xml:space="preserve">(2013), </w:t>
      </w:r>
      <w:r w:rsidRPr="00901AC1">
        <w:rPr>
          <w:i/>
          <w:sz w:val="18"/>
          <w:szCs w:val="18"/>
        </w:rPr>
        <w:t>Tra mente e corpo</w:t>
      </w:r>
      <w:r w:rsidRPr="00901AC1">
        <w:rPr>
          <w:sz w:val="18"/>
          <w:szCs w:val="18"/>
        </w:rPr>
        <w:t xml:space="preserve"> (the first 16 chapters), Raffello Cortina Editore.</w:t>
      </w:r>
    </w:p>
    <w:p w14:paraId="4A56491B" w14:textId="03A414CE" w:rsidR="002A4C63" w:rsidRPr="00901AC1" w:rsidRDefault="00945868">
      <w:pPr>
        <w:pStyle w:val="P68B1DB1-Normale5"/>
        <w:spacing w:line="240" w:lineRule="exact"/>
        <w:rPr>
          <w:sz w:val="18"/>
          <w:szCs w:val="18"/>
        </w:rPr>
      </w:pPr>
      <w:r w:rsidRPr="00901AC1">
        <w:rPr>
          <w:smallCaps/>
          <w:sz w:val="16"/>
          <w:szCs w:val="18"/>
        </w:rPr>
        <w:t>C. Acquati, E. Saita</w:t>
      </w:r>
      <w:r w:rsidRPr="00901AC1">
        <w:rPr>
          <w:sz w:val="16"/>
          <w:szCs w:val="18"/>
        </w:rPr>
        <w:t xml:space="preserve"> </w:t>
      </w:r>
      <w:r w:rsidRPr="00901AC1">
        <w:rPr>
          <w:sz w:val="18"/>
          <w:szCs w:val="18"/>
        </w:rPr>
        <w:t xml:space="preserve">(2017), </w:t>
      </w:r>
      <w:r w:rsidRPr="00901AC1">
        <w:rPr>
          <w:i/>
          <w:sz w:val="18"/>
          <w:szCs w:val="18"/>
        </w:rPr>
        <w:t>Affrontare insieme la malattia. Il coping diadico tra teoria e pratica</w:t>
      </w:r>
      <w:r w:rsidRPr="00901AC1">
        <w:rPr>
          <w:sz w:val="18"/>
          <w:szCs w:val="18"/>
        </w:rPr>
        <w:t>, Carocci Editore.</w:t>
      </w:r>
    </w:p>
    <w:p w14:paraId="797864A8" w14:textId="77777777" w:rsidR="002A4C63" w:rsidRPr="00901AC1" w:rsidRDefault="00945868">
      <w:pPr>
        <w:pStyle w:val="P68B1DB1-Normale7"/>
        <w:spacing w:before="240" w:after="120" w:line="220" w:lineRule="exact"/>
        <w:rPr>
          <w:sz w:val="18"/>
          <w:szCs w:val="18"/>
          <w:lang w:val="en-GB"/>
        </w:rPr>
      </w:pPr>
      <w:r w:rsidRPr="00901AC1">
        <w:rPr>
          <w:sz w:val="18"/>
          <w:szCs w:val="18"/>
          <w:lang w:val="en-GB"/>
        </w:rPr>
        <w:t>TEACHING METHOD</w:t>
      </w:r>
    </w:p>
    <w:p w14:paraId="1ABA7B64" w14:textId="77777777" w:rsidR="002A4C63" w:rsidRPr="00901AC1" w:rsidRDefault="00945868">
      <w:pPr>
        <w:pStyle w:val="P68B1DB1-Testo28"/>
        <w:rPr>
          <w:sz w:val="18"/>
          <w:szCs w:val="18"/>
          <w:lang w:val="en-GB"/>
        </w:rPr>
      </w:pPr>
      <w:r w:rsidRPr="00901AC1">
        <w:rPr>
          <w:sz w:val="18"/>
          <w:szCs w:val="18"/>
          <w:lang w:val="en-GB"/>
        </w:rPr>
        <w:t>Frontal lectures alternating with the involvement of students in the preparation of psychological intervention projects in the contexts of health and illness.</w:t>
      </w:r>
    </w:p>
    <w:p w14:paraId="7F1C76A1" w14:textId="77777777" w:rsidR="002A4C63" w:rsidRPr="00901AC1" w:rsidRDefault="00945868">
      <w:pPr>
        <w:pStyle w:val="P68B1DB1-Normale3"/>
        <w:spacing w:before="240" w:after="120" w:line="220" w:lineRule="exact"/>
        <w:rPr>
          <w:sz w:val="18"/>
          <w:szCs w:val="18"/>
          <w:lang w:val="en-GB"/>
        </w:rPr>
      </w:pPr>
      <w:r w:rsidRPr="00901AC1">
        <w:rPr>
          <w:sz w:val="18"/>
          <w:szCs w:val="18"/>
          <w:lang w:val="en-GB"/>
        </w:rPr>
        <w:t>ASSESSMENT METHOD AND CRITERIA</w:t>
      </w:r>
    </w:p>
    <w:p w14:paraId="01FFED63" w14:textId="02E3E22A" w:rsidR="002A4C63" w:rsidRPr="00456593" w:rsidRDefault="00945868">
      <w:pPr>
        <w:pStyle w:val="P68B1DB1-Testo28"/>
        <w:rPr>
          <w:color w:val="000000" w:themeColor="text1"/>
          <w:sz w:val="18"/>
          <w:szCs w:val="18"/>
          <w:lang w:val="en-GB"/>
        </w:rPr>
      </w:pPr>
      <w:r w:rsidRPr="00901AC1">
        <w:rPr>
          <w:color w:val="000000" w:themeColor="text1"/>
          <w:sz w:val="18"/>
          <w:szCs w:val="18"/>
          <w:lang w:val="en-GB"/>
        </w:rPr>
        <w:t xml:space="preserve">An oral exam which will assess students' knowledge of the basic notions, as well as their critical and argumentative skill on the various issues addressed during the course. There will be a minimum of three to a maximum of five questions, and students will be assessed on their basic knowledge of the requested topic (to pass [18/30]) they will need to display an ability to explore in depth, know the content </w:t>
      </w:r>
      <w:r w:rsidRPr="00456593">
        <w:rPr>
          <w:color w:val="000000" w:themeColor="text1"/>
          <w:sz w:val="18"/>
          <w:szCs w:val="18"/>
          <w:lang w:val="en-GB"/>
        </w:rPr>
        <w:t>accurately, use precise terminology,</w:t>
      </w:r>
      <w:r w:rsidR="000F6641" w:rsidRPr="00456593">
        <w:rPr>
          <w:color w:val="000000" w:themeColor="text1"/>
          <w:sz w:val="18"/>
          <w:szCs w:val="18"/>
          <w:lang w:val="en-GB"/>
        </w:rPr>
        <w:t xml:space="preserve"> </w:t>
      </w:r>
      <w:r w:rsidRPr="00456593">
        <w:rPr>
          <w:color w:val="000000" w:themeColor="text1"/>
          <w:sz w:val="18"/>
          <w:szCs w:val="18"/>
          <w:lang w:val="en-GB"/>
        </w:rPr>
        <w:t>and identify conceptual links (to attain the highest marks)</w:t>
      </w:r>
      <w:r w:rsidRPr="00456593">
        <w:rPr>
          <w:sz w:val="18"/>
          <w:szCs w:val="18"/>
          <w:lang w:val="en-GB"/>
        </w:rPr>
        <w:t>.</w:t>
      </w:r>
    </w:p>
    <w:p w14:paraId="52429BD9" w14:textId="77777777" w:rsidR="002A4C63" w:rsidRPr="00456593" w:rsidRDefault="00945868">
      <w:pPr>
        <w:pStyle w:val="P68B1DB1-Normale5"/>
        <w:spacing w:before="240" w:after="120"/>
        <w:rPr>
          <w:sz w:val="18"/>
          <w:szCs w:val="18"/>
          <w:lang w:val="en-GB"/>
        </w:rPr>
      </w:pPr>
      <w:r w:rsidRPr="00456593">
        <w:rPr>
          <w:b/>
          <w:i/>
          <w:sz w:val="18"/>
          <w:szCs w:val="18"/>
          <w:lang w:val="en-GB"/>
        </w:rPr>
        <w:t>NOTES AND PREREQUISITES</w:t>
      </w:r>
      <w:r w:rsidRPr="00456593">
        <w:rPr>
          <w:sz w:val="18"/>
          <w:szCs w:val="18"/>
          <w:lang w:val="en-GB"/>
        </w:rPr>
        <w:t xml:space="preserve"> </w:t>
      </w:r>
    </w:p>
    <w:p w14:paraId="6061A61B" w14:textId="41A44786" w:rsidR="002A4C63" w:rsidRPr="00456593" w:rsidRDefault="00945868" w:rsidP="00221807">
      <w:pPr>
        <w:pStyle w:val="Testo2"/>
      </w:pPr>
      <w:r w:rsidRPr="00456593">
        <w:rPr>
          <w:szCs w:val="18"/>
          <w:lang w:val="en-GB"/>
        </w:rPr>
        <w:t>Students must possess a basic knowledge of the main concepts of dynamic psychology and clinical psychology</w:t>
      </w:r>
      <w:r w:rsidR="00221807" w:rsidRPr="00456593">
        <w:rPr>
          <w:szCs w:val="18"/>
          <w:lang w:val="en-GB"/>
        </w:rPr>
        <w:t xml:space="preserve"> </w:t>
      </w:r>
      <w:r w:rsidR="00221807" w:rsidRPr="00456593">
        <w:t>(</w:t>
      </w:r>
      <w:r w:rsidR="00456593" w:rsidRPr="00456593">
        <w:t xml:space="preserve">for example mind and body bonds, coping style, … </w:t>
      </w:r>
      <w:r w:rsidR="00221807" w:rsidRPr="00456593">
        <w:t>)</w:t>
      </w:r>
    </w:p>
    <w:p w14:paraId="007EAB46" w14:textId="77777777" w:rsidR="00AA4536" w:rsidRPr="00AA4536" w:rsidRDefault="00AA4536" w:rsidP="00AA4536">
      <w:pPr>
        <w:pStyle w:val="P68B1DB1-Normale11"/>
        <w:tabs>
          <w:tab w:val="left" w:pos="284"/>
        </w:tabs>
        <w:spacing w:line="220" w:lineRule="exact"/>
        <w:ind w:firstLine="284"/>
        <w:jc w:val="both"/>
        <w:rPr>
          <w:rFonts w:eastAsia="Calibri"/>
          <w:szCs w:val="18"/>
          <w:lang w:val="en-GB"/>
        </w:rPr>
      </w:pPr>
      <w:r w:rsidRPr="00456593">
        <w:rPr>
          <w:rFonts w:eastAsia="Calibri"/>
          <w:szCs w:val="18"/>
          <w:lang w:val="en-GB"/>
        </w:rPr>
        <w:t>In case the current Covid-19 health emergency does not allow frontal teaching, remote teaching and assessment will be carried out following procedures that will be promptly</w:t>
      </w:r>
      <w:r w:rsidRPr="00AA4536">
        <w:rPr>
          <w:rFonts w:eastAsia="Calibri"/>
          <w:szCs w:val="18"/>
          <w:lang w:val="en-GB"/>
        </w:rPr>
        <w:t xml:space="preserve"> notified to students.</w:t>
      </w:r>
    </w:p>
    <w:p w14:paraId="42B6E281" w14:textId="77777777" w:rsidR="002A4C63" w:rsidRPr="00901AC1" w:rsidRDefault="00945868">
      <w:pPr>
        <w:pStyle w:val="P68B1DB1-Normale11"/>
        <w:tabs>
          <w:tab w:val="left" w:pos="284"/>
        </w:tabs>
        <w:spacing w:before="120" w:line="220" w:lineRule="exact"/>
        <w:ind w:firstLine="284"/>
        <w:jc w:val="both"/>
        <w:rPr>
          <w:i/>
          <w:szCs w:val="18"/>
          <w:lang w:val="en-GB"/>
        </w:rPr>
      </w:pPr>
      <w:r w:rsidRPr="00901AC1">
        <w:rPr>
          <w:szCs w:val="18"/>
          <w:lang w:val="en-GB"/>
        </w:rPr>
        <w:t>Further information can be found on the lecturer's webpage at http://docenti.unicatt.it/web/searchByName.do?language=ENG or on the Faculty notice board.</w:t>
      </w:r>
    </w:p>
    <w:p w14:paraId="2DDD57EA" w14:textId="77777777" w:rsidR="002A4C63" w:rsidRPr="00901AC1" w:rsidRDefault="002A4C63">
      <w:pPr>
        <w:pStyle w:val="Testo2"/>
        <w:rPr>
          <w:sz w:val="20"/>
          <w:lang w:val="en-US"/>
        </w:rPr>
      </w:pPr>
    </w:p>
    <w:sectPr w:rsidR="002A4C63" w:rsidRPr="00901AC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4A8051C7"/>
    <w:multiLevelType w:val="hybridMultilevel"/>
    <w:tmpl w:val="2D50CA3C"/>
    <w:lvl w:ilvl="0" w:tplc="E09A023C">
      <w:start w:val="1"/>
      <w:numFmt w:val="bullet"/>
      <w:lvlText w:val="•"/>
      <w:lvlJc w:val="left"/>
      <w:pPr>
        <w:tabs>
          <w:tab w:val="num" w:pos="720"/>
        </w:tabs>
        <w:ind w:left="720" w:hanging="360"/>
      </w:pPr>
      <w:rPr>
        <w:rFonts w:ascii="Arial" w:hAnsi="Arial" w:hint="default"/>
      </w:rPr>
    </w:lvl>
    <w:lvl w:ilvl="1" w:tplc="1714C25A" w:tentative="1">
      <w:start w:val="1"/>
      <w:numFmt w:val="bullet"/>
      <w:lvlText w:val="•"/>
      <w:lvlJc w:val="left"/>
      <w:pPr>
        <w:tabs>
          <w:tab w:val="num" w:pos="1440"/>
        </w:tabs>
        <w:ind w:left="1440" w:hanging="360"/>
      </w:pPr>
      <w:rPr>
        <w:rFonts w:ascii="Arial" w:hAnsi="Arial" w:hint="default"/>
      </w:rPr>
    </w:lvl>
    <w:lvl w:ilvl="2" w:tplc="8E000020" w:tentative="1">
      <w:start w:val="1"/>
      <w:numFmt w:val="bullet"/>
      <w:lvlText w:val="•"/>
      <w:lvlJc w:val="left"/>
      <w:pPr>
        <w:tabs>
          <w:tab w:val="num" w:pos="2160"/>
        </w:tabs>
        <w:ind w:left="2160" w:hanging="360"/>
      </w:pPr>
      <w:rPr>
        <w:rFonts w:ascii="Arial" w:hAnsi="Arial" w:hint="default"/>
      </w:rPr>
    </w:lvl>
    <w:lvl w:ilvl="3" w:tplc="0EE24060" w:tentative="1">
      <w:start w:val="1"/>
      <w:numFmt w:val="bullet"/>
      <w:lvlText w:val="•"/>
      <w:lvlJc w:val="left"/>
      <w:pPr>
        <w:tabs>
          <w:tab w:val="num" w:pos="2880"/>
        </w:tabs>
        <w:ind w:left="2880" w:hanging="360"/>
      </w:pPr>
      <w:rPr>
        <w:rFonts w:ascii="Arial" w:hAnsi="Arial" w:hint="default"/>
      </w:rPr>
    </w:lvl>
    <w:lvl w:ilvl="4" w:tplc="289A0204" w:tentative="1">
      <w:start w:val="1"/>
      <w:numFmt w:val="bullet"/>
      <w:lvlText w:val="•"/>
      <w:lvlJc w:val="left"/>
      <w:pPr>
        <w:tabs>
          <w:tab w:val="num" w:pos="3600"/>
        </w:tabs>
        <w:ind w:left="3600" w:hanging="360"/>
      </w:pPr>
      <w:rPr>
        <w:rFonts w:ascii="Arial" w:hAnsi="Arial" w:hint="default"/>
      </w:rPr>
    </w:lvl>
    <w:lvl w:ilvl="5" w:tplc="A8DCACBA" w:tentative="1">
      <w:start w:val="1"/>
      <w:numFmt w:val="bullet"/>
      <w:lvlText w:val="•"/>
      <w:lvlJc w:val="left"/>
      <w:pPr>
        <w:tabs>
          <w:tab w:val="num" w:pos="4320"/>
        </w:tabs>
        <w:ind w:left="4320" w:hanging="360"/>
      </w:pPr>
      <w:rPr>
        <w:rFonts w:ascii="Arial" w:hAnsi="Arial" w:hint="default"/>
      </w:rPr>
    </w:lvl>
    <w:lvl w:ilvl="6" w:tplc="CB88CFF4" w:tentative="1">
      <w:start w:val="1"/>
      <w:numFmt w:val="bullet"/>
      <w:lvlText w:val="•"/>
      <w:lvlJc w:val="left"/>
      <w:pPr>
        <w:tabs>
          <w:tab w:val="num" w:pos="5040"/>
        </w:tabs>
        <w:ind w:left="5040" w:hanging="360"/>
      </w:pPr>
      <w:rPr>
        <w:rFonts w:ascii="Arial" w:hAnsi="Arial" w:hint="default"/>
      </w:rPr>
    </w:lvl>
    <w:lvl w:ilvl="7" w:tplc="790C596A" w:tentative="1">
      <w:start w:val="1"/>
      <w:numFmt w:val="bullet"/>
      <w:lvlText w:val="•"/>
      <w:lvlJc w:val="left"/>
      <w:pPr>
        <w:tabs>
          <w:tab w:val="num" w:pos="5760"/>
        </w:tabs>
        <w:ind w:left="5760" w:hanging="360"/>
      </w:pPr>
      <w:rPr>
        <w:rFonts w:ascii="Arial" w:hAnsi="Arial" w:hint="default"/>
      </w:rPr>
    </w:lvl>
    <w:lvl w:ilvl="8" w:tplc="990016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6736FE"/>
    <w:multiLevelType w:val="hybridMultilevel"/>
    <w:tmpl w:val="473296E0"/>
    <w:lvl w:ilvl="0" w:tplc="048CD47C">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6810528">
    <w:abstractNumId w:val="0"/>
  </w:num>
  <w:num w:numId="2" w16cid:durableId="1519000070">
    <w:abstractNumId w:val="2"/>
  </w:num>
  <w:num w:numId="3" w16cid:durableId="63814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98"/>
    <w:rsid w:val="0008118E"/>
    <w:rsid w:val="000F6641"/>
    <w:rsid w:val="001F6303"/>
    <w:rsid w:val="00221807"/>
    <w:rsid w:val="002A4C63"/>
    <w:rsid w:val="002A5C39"/>
    <w:rsid w:val="002E363D"/>
    <w:rsid w:val="002F3A5D"/>
    <w:rsid w:val="003534B3"/>
    <w:rsid w:val="003A15C9"/>
    <w:rsid w:val="00456336"/>
    <w:rsid w:val="00456593"/>
    <w:rsid w:val="004D1217"/>
    <w:rsid w:val="004D6008"/>
    <w:rsid w:val="004E4339"/>
    <w:rsid w:val="00564C47"/>
    <w:rsid w:val="00620DEE"/>
    <w:rsid w:val="006F1772"/>
    <w:rsid w:val="00785B64"/>
    <w:rsid w:val="00795DEB"/>
    <w:rsid w:val="007B266B"/>
    <w:rsid w:val="007E23AE"/>
    <w:rsid w:val="008B197D"/>
    <w:rsid w:val="00901AC1"/>
    <w:rsid w:val="00915D13"/>
    <w:rsid w:val="00931FF5"/>
    <w:rsid w:val="00940DA2"/>
    <w:rsid w:val="00945868"/>
    <w:rsid w:val="00956BD6"/>
    <w:rsid w:val="009B73CE"/>
    <w:rsid w:val="00A83311"/>
    <w:rsid w:val="00AA4536"/>
    <w:rsid w:val="00AB4D56"/>
    <w:rsid w:val="00AD3698"/>
    <w:rsid w:val="00B17902"/>
    <w:rsid w:val="00C16F23"/>
    <w:rsid w:val="00C67ADD"/>
    <w:rsid w:val="00C74177"/>
    <w:rsid w:val="00CC0F5E"/>
    <w:rsid w:val="00CE0A00"/>
    <w:rsid w:val="00CE0CCF"/>
    <w:rsid w:val="00CF463F"/>
    <w:rsid w:val="00D01AB1"/>
    <w:rsid w:val="00D86F8C"/>
    <w:rsid w:val="00DF0A0A"/>
    <w:rsid w:val="00E25EB6"/>
    <w:rsid w:val="00E548C3"/>
    <w:rsid w:val="00EE3DBB"/>
    <w:rsid w:val="00F40847"/>
    <w:rsid w:val="00F531AA"/>
    <w:rsid w:val="00F6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5EDF8"/>
  <w15:docId w15:val="{A185A067-E7AB-4DF8-8793-09FE624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197D"/>
    <w:rPr>
      <w:sz w:val="24"/>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character" w:styleId="Collegamentoipertestuale">
    <w:name w:val="Hyperlink"/>
    <w:basedOn w:val="Carpredefinitoparagrafo"/>
    <w:unhideWhenUsed/>
    <w:rsid w:val="002E363D"/>
    <w:rPr>
      <w:color w:val="0000FF" w:themeColor="hyperlink"/>
      <w:u w:val="single"/>
    </w:rPr>
  </w:style>
  <w:style w:type="character" w:customStyle="1" w:styleId="apple-converted-space">
    <w:name w:val="apple-converted-space"/>
    <w:basedOn w:val="Carpredefinitoparagrafo"/>
    <w:rsid w:val="008B197D"/>
  </w:style>
  <w:style w:type="paragraph" w:styleId="Testofumetto">
    <w:name w:val="Balloon Text"/>
    <w:basedOn w:val="Normale"/>
    <w:link w:val="TestofumettoCarattere"/>
    <w:semiHidden/>
    <w:unhideWhenUsed/>
    <w:rsid w:val="00AB4D56"/>
    <w:rPr>
      <w:sz w:val="18"/>
    </w:rPr>
  </w:style>
  <w:style w:type="character" w:customStyle="1" w:styleId="TestofumettoCarattere">
    <w:name w:val="Testo fumetto Carattere"/>
    <w:basedOn w:val="Carpredefinitoparagrafo"/>
    <w:link w:val="Testofumetto"/>
    <w:semiHidden/>
    <w:rsid w:val="00AB4D56"/>
    <w:rPr>
      <w:sz w:val="18"/>
    </w:rPr>
  </w:style>
  <w:style w:type="character" w:styleId="Rimandocommento">
    <w:name w:val="annotation reference"/>
    <w:basedOn w:val="Carpredefinitoparagrafo"/>
    <w:semiHidden/>
    <w:unhideWhenUsed/>
    <w:rsid w:val="00795DEB"/>
    <w:rPr>
      <w:sz w:val="16"/>
    </w:rPr>
  </w:style>
  <w:style w:type="paragraph" w:styleId="Testocommento">
    <w:name w:val="annotation text"/>
    <w:basedOn w:val="Normale"/>
    <w:link w:val="TestocommentoCarattere"/>
    <w:semiHidden/>
    <w:unhideWhenUsed/>
    <w:rsid w:val="00795DEB"/>
    <w:rPr>
      <w:sz w:val="20"/>
    </w:rPr>
  </w:style>
  <w:style w:type="character" w:customStyle="1" w:styleId="TestocommentoCarattere">
    <w:name w:val="Testo commento Carattere"/>
    <w:basedOn w:val="Carpredefinitoparagrafo"/>
    <w:link w:val="Testocommento"/>
    <w:semiHidden/>
    <w:rsid w:val="00795DEB"/>
  </w:style>
  <w:style w:type="paragraph" w:styleId="Soggettocommento">
    <w:name w:val="annotation subject"/>
    <w:basedOn w:val="Testocommento"/>
    <w:next w:val="Testocommento"/>
    <w:link w:val="SoggettocommentoCarattere"/>
    <w:semiHidden/>
    <w:unhideWhenUsed/>
    <w:rsid w:val="00795DEB"/>
    <w:rPr>
      <w:b/>
    </w:rPr>
  </w:style>
  <w:style w:type="character" w:customStyle="1" w:styleId="SoggettocommentoCarattere">
    <w:name w:val="Soggetto commento Carattere"/>
    <w:basedOn w:val="TestocommentoCarattere"/>
    <w:link w:val="Soggettocommento"/>
    <w:semiHidden/>
    <w:rsid w:val="00795DEB"/>
    <w:rPr>
      <w:b/>
    </w:rPr>
  </w:style>
  <w:style w:type="paragraph" w:customStyle="1" w:styleId="P68B1DB1-Normale1">
    <w:name w:val="P68B1DB1-Normale1"/>
    <w:basedOn w:val="Normale"/>
    <w:rPr>
      <w:rFonts w:ascii="Times" w:hAnsi="Times" w:cs="Times"/>
      <w:b/>
      <w:kern w:val="1"/>
      <w:sz w:val="20"/>
    </w:rPr>
  </w:style>
  <w:style w:type="paragraph" w:customStyle="1" w:styleId="P68B1DB1-Titolo22">
    <w:name w:val="P68B1DB1-Titolo22"/>
    <w:basedOn w:val="Titolo2"/>
    <w:rPr>
      <w:rFonts w:ascii="Times New Roman" w:hAnsi="Times New Roman"/>
    </w:rPr>
  </w:style>
  <w:style w:type="paragraph" w:customStyle="1" w:styleId="P68B1DB1-Normale3">
    <w:name w:val="P68B1DB1-Normale3"/>
    <w:basedOn w:val="Normale"/>
    <w:rPr>
      <w:b/>
      <w:i/>
      <w:color w:val="000000" w:themeColor="text1"/>
      <w:sz w:val="20"/>
    </w:rPr>
  </w:style>
  <w:style w:type="paragraph" w:customStyle="1" w:styleId="P68B1DB1-Normale4">
    <w:name w:val="P68B1DB1-Normale4"/>
    <w:basedOn w:val="Normale"/>
    <w:rPr>
      <w:i/>
      <w:sz w:val="20"/>
    </w:rPr>
  </w:style>
  <w:style w:type="paragraph" w:customStyle="1" w:styleId="P68B1DB1-Normale5">
    <w:name w:val="P68B1DB1-Normale5"/>
    <w:basedOn w:val="Normale"/>
    <w:rPr>
      <w:color w:val="000000" w:themeColor="text1"/>
      <w:sz w:val="20"/>
    </w:rPr>
  </w:style>
  <w:style w:type="paragraph" w:customStyle="1" w:styleId="P68B1DB1-Normale6">
    <w:name w:val="P68B1DB1-Normale6"/>
    <w:basedOn w:val="Normale"/>
    <w:rPr>
      <w:color w:val="000000" w:themeColor="text1"/>
      <w:sz w:val="20"/>
      <w:shd w:val="clear" w:color="auto" w:fill="FFFFFF"/>
    </w:rPr>
  </w:style>
  <w:style w:type="paragraph" w:customStyle="1" w:styleId="P68B1DB1-Normale7">
    <w:name w:val="P68B1DB1-Normale7"/>
    <w:basedOn w:val="Normale"/>
    <w:rPr>
      <w:b/>
      <w:i/>
      <w:sz w:val="20"/>
    </w:rPr>
  </w:style>
  <w:style w:type="paragraph" w:customStyle="1" w:styleId="P68B1DB1-Testo28">
    <w:name w:val="P68B1DB1-Testo28"/>
    <w:basedOn w:val="Testo2"/>
    <w:rPr>
      <w:rFonts w:ascii="Times New Roman" w:hAnsi="Times New Roman"/>
      <w:sz w:val="20"/>
    </w:rPr>
  </w:style>
  <w:style w:type="paragraph" w:customStyle="1" w:styleId="P68B1DB1-Normale9">
    <w:name w:val="P68B1DB1-Normale9"/>
    <w:basedOn w:val="Normale"/>
    <w:rPr>
      <w:color w:val="000000" w:themeColor="text1"/>
      <w:sz w:val="18"/>
    </w:rPr>
  </w:style>
  <w:style w:type="paragraph" w:customStyle="1" w:styleId="P68B1DB1-Normale10">
    <w:name w:val="P68B1DB1-Normale10"/>
    <w:basedOn w:val="Normale"/>
    <w:rPr>
      <w:rFonts w:eastAsia="Calibri"/>
      <w:sz w:val="18"/>
    </w:rPr>
  </w:style>
  <w:style w:type="paragraph" w:customStyle="1" w:styleId="P68B1DB1-Normale11">
    <w:name w:val="P68B1DB1-Normale11"/>
    <w:basedOn w:val="Normale"/>
    <w:rPr>
      <w:rFonts w:ascii="Times" w:hAnsi="Times"/>
      <w:sz w:val="18"/>
    </w:rPr>
  </w:style>
  <w:style w:type="character" w:customStyle="1" w:styleId="Testo2Carattere">
    <w:name w:val="Testo 2 Carattere"/>
    <w:link w:val="Testo2"/>
    <w:locked/>
    <w:rsid w:val="00D86F8C"/>
    <w:rPr>
      <w:rFonts w:ascii="Times" w:hAnsi="Times"/>
      <w:sz w:val="18"/>
    </w:rPr>
  </w:style>
  <w:style w:type="paragraph" w:styleId="Corpotesto">
    <w:name w:val="Body Text"/>
    <w:basedOn w:val="Normale"/>
    <w:link w:val="CorpotestoCarattere"/>
    <w:rsid w:val="001F6303"/>
    <w:pPr>
      <w:suppressAutoHyphens/>
      <w:spacing w:after="120"/>
      <w:jc w:val="both"/>
    </w:pPr>
    <w:rPr>
      <w:kern w:val="1"/>
      <w:sz w:val="20"/>
      <w:lang w:val="en-GB" w:eastAsia="ar-SA"/>
    </w:rPr>
  </w:style>
  <w:style w:type="character" w:customStyle="1" w:styleId="CorpotestoCarattere">
    <w:name w:val="Corpo testo Carattere"/>
    <w:basedOn w:val="Carpredefinitoparagrafo"/>
    <w:link w:val="Corpotesto"/>
    <w:rsid w:val="001F6303"/>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4545">
      <w:bodyDiv w:val="1"/>
      <w:marLeft w:val="0"/>
      <w:marRight w:val="0"/>
      <w:marTop w:val="0"/>
      <w:marBottom w:val="0"/>
      <w:divBdr>
        <w:top w:val="none" w:sz="0" w:space="0" w:color="auto"/>
        <w:left w:val="none" w:sz="0" w:space="0" w:color="auto"/>
        <w:bottom w:val="none" w:sz="0" w:space="0" w:color="auto"/>
        <w:right w:val="none" w:sz="0" w:space="0" w:color="auto"/>
      </w:divBdr>
      <w:divsChild>
        <w:div w:id="2138520342">
          <w:marLeft w:val="547"/>
          <w:marRight w:val="0"/>
          <w:marTop w:val="154"/>
          <w:marBottom w:val="0"/>
          <w:divBdr>
            <w:top w:val="none" w:sz="0" w:space="0" w:color="auto"/>
            <w:left w:val="none" w:sz="0" w:space="0" w:color="auto"/>
            <w:bottom w:val="none" w:sz="0" w:space="0" w:color="auto"/>
            <w:right w:val="none" w:sz="0" w:space="0" w:color="auto"/>
          </w:divBdr>
        </w:div>
        <w:div w:id="444741074">
          <w:marLeft w:val="547"/>
          <w:marRight w:val="0"/>
          <w:marTop w:val="154"/>
          <w:marBottom w:val="0"/>
          <w:divBdr>
            <w:top w:val="none" w:sz="0" w:space="0" w:color="auto"/>
            <w:left w:val="none" w:sz="0" w:space="0" w:color="auto"/>
            <w:bottom w:val="none" w:sz="0" w:space="0" w:color="auto"/>
            <w:right w:val="none" w:sz="0" w:space="0" w:color="auto"/>
          </w:divBdr>
        </w:div>
      </w:divsChild>
    </w:div>
    <w:div w:id="19083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14</TotalTime>
  <Pages>3</Pages>
  <Words>582</Words>
  <Characters>3223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2022-06-08T16:13:00Z</dcterms:created>
  <dcterms:modified xsi:type="dcterms:W3CDTF">2022-12-05T10:41:00Z</dcterms:modified>
</cp:coreProperties>
</file>