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C4BF" w14:textId="77777777" w:rsidR="0020562A" w:rsidRPr="00BF5F68" w:rsidRDefault="0020562A" w:rsidP="0020562A">
      <w:pPr>
        <w:keepNext/>
        <w:tabs>
          <w:tab w:val="clear" w:pos="284"/>
        </w:tabs>
        <w:suppressAutoHyphens/>
        <w:spacing w:before="480"/>
        <w:ind w:left="284" w:hanging="284"/>
        <w:outlineLvl w:val="0"/>
        <w:rPr>
          <w:rFonts w:ascii="Times" w:eastAsia="Arial Unicode MS" w:hAnsi="Times" w:cs="Times"/>
          <w:b/>
          <w:kern w:val="1"/>
          <w:szCs w:val="20"/>
        </w:rPr>
      </w:pPr>
      <w:r w:rsidRPr="00BF5F68">
        <w:rPr>
          <w:rFonts w:ascii="Times" w:hAnsi="Times"/>
          <w:b/>
        </w:rPr>
        <w:t>Psychology of Interpersonal and Subjective Well-being</w:t>
      </w:r>
    </w:p>
    <w:p w14:paraId="5117D53D" w14:textId="21D4F8F8" w:rsidR="0034526A" w:rsidRPr="00BF5F68" w:rsidRDefault="0034526A" w:rsidP="0034526A">
      <w:pPr>
        <w:pStyle w:val="Titolo2"/>
        <w:rPr>
          <w:lang w:val="it-IT"/>
        </w:rPr>
      </w:pPr>
      <w:r w:rsidRPr="00BF5F68">
        <w:rPr>
          <w:lang w:val="it-IT"/>
        </w:rPr>
        <w:t>Prof. Stefania Balzarotti; Prof. Giuseppe Riva</w:t>
      </w:r>
    </w:p>
    <w:p w14:paraId="637922E5" w14:textId="48A959BA" w:rsidR="0034526A" w:rsidRPr="00BF5F68" w:rsidRDefault="00BC413F" w:rsidP="0034526A">
      <w:pPr>
        <w:spacing w:before="240" w:after="120"/>
        <w:rPr>
          <w:b/>
          <w:i/>
          <w:sz w:val="18"/>
        </w:rPr>
      </w:pPr>
      <w:r w:rsidRPr="00BF5F68">
        <w:rPr>
          <w:b/>
          <w:i/>
          <w:sz w:val="18"/>
        </w:rPr>
        <w:t>COURSE AIMS AND INTENDED LEARNING OUTCOMES</w:t>
      </w:r>
    </w:p>
    <w:p w14:paraId="393CA3E7" w14:textId="77777777" w:rsidR="0034526A" w:rsidRPr="00BF5F68" w:rsidRDefault="00BC413F" w:rsidP="0034526A">
      <w:pPr>
        <w:pStyle w:val="Paragrafoelenco"/>
        <w:ind w:left="0"/>
      </w:pPr>
      <w:r w:rsidRPr="00BF5F68">
        <w:t>The course aims to:</w:t>
      </w:r>
    </w:p>
    <w:p w14:paraId="6668A04B" w14:textId="77777777" w:rsidR="0034526A" w:rsidRPr="00BF5F68" w:rsidRDefault="00BC413F" w:rsidP="007C5FC8">
      <w:pPr>
        <w:pStyle w:val="Paragrafoelenco"/>
        <w:numPr>
          <w:ilvl w:val="0"/>
          <w:numId w:val="1"/>
        </w:numPr>
        <w:spacing w:before="40"/>
        <w:ind w:left="284" w:hanging="284"/>
        <w:contextualSpacing w:val="0"/>
      </w:pPr>
      <w:r w:rsidRPr="00BF5F68">
        <w:t>Introduce the key theoretical models to define and understand the concepts of quality of life and personal, psychological, and interpersonal well-being.</w:t>
      </w:r>
    </w:p>
    <w:p w14:paraId="56DA531B" w14:textId="77777777" w:rsidR="0034526A" w:rsidRPr="00BF5F68" w:rsidRDefault="00BC413F" w:rsidP="00BC413F">
      <w:pPr>
        <w:pStyle w:val="Paragrafoelenco"/>
        <w:numPr>
          <w:ilvl w:val="0"/>
          <w:numId w:val="1"/>
        </w:numPr>
        <w:spacing w:before="40"/>
        <w:ind w:left="284" w:hanging="284"/>
        <w:contextualSpacing w:val="0"/>
      </w:pPr>
      <w:r w:rsidRPr="00BF5F68">
        <w:t>Present some of the cognitive, communication, and emotional tools of the psychological well-being.</w:t>
      </w:r>
    </w:p>
    <w:p w14:paraId="10B3284D" w14:textId="77777777" w:rsidR="0034526A" w:rsidRPr="00BF5F68" w:rsidRDefault="00BC413F" w:rsidP="00BC413F">
      <w:pPr>
        <w:pStyle w:val="Paragrafoelenco"/>
        <w:numPr>
          <w:ilvl w:val="0"/>
          <w:numId w:val="1"/>
        </w:numPr>
        <w:spacing w:before="40"/>
        <w:ind w:left="284" w:hanging="284"/>
        <w:contextualSpacing w:val="0"/>
      </w:pPr>
      <w:r w:rsidRPr="00BF5F68">
        <w:t>Invite students to experience, from a more personal and practical point of view, some of the cognitive, communication, and emotional tools of the psychological well-being.</w:t>
      </w:r>
    </w:p>
    <w:p w14:paraId="441DBE41" w14:textId="77777777" w:rsidR="0034526A" w:rsidRPr="00BF5F68" w:rsidRDefault="00BC413F" w:rsidP="00BC413F">
      <w:pPr>
        <w:pStyle w:val="Paragrafoelenco"/>
        <w:numPr>
          <w:ilvl w:val="0"/>
          <w:numId w:val="1"/>
        </w:numPr>
        <w:spacing w:before="40"/>
        <w:ind w:left="284" w:hanging="284"/>
        <w:contextualSpacing w:val="0"/>
      </w:pPr>
      <w:r w:rsidRPr="00BF5F68">
        <w:t xml:space="preserve">Introduce the techniques and the tools used to assess and measure personal and interpersonal psychological well-being.  </w:t>
      </w:r>
    </w:p>
    <w:p w14:paraId="4418AADD" w14:textId="77777777" w:rsidR="0034526A" w:rsidRPr="00BF5F68" w:rsidRDefault="00BC413F" w:rsidP="0034526A">
      <w:pPr>
        <w:spacing w:before="240" w:line="240" w:lineRule="auto"/>
        <w:rPr>
          <w:szCs w:val="20"/>
        </w:rPr>
      </w:pPr>
      <w:r w:rsidRPr="00BF5F68">
        <w:rPr>
          <w:i/>
        </w:rPr>
        <w:t>Intended learning outcomes</w:t>
      </w:r>
    </w:p>
    <w:p w14:paraId="015FC5AB" w14:textId="77777777" w:rsidR="0034526A" w:rsidRPr="00BF5F68" w:rsidRDefault="00BC413F" w:rsidP="0034526A">
      <w:pPr>
        <w:spacing w:beforeLines="40" w:before="96" w:line="240" w:lineRule="auto"/>
      </w:pPr>
      <w:r w:rsidRPr="00BF5F68">
        <w:t>At the end of the course, students will be able to:</w:t>
      </w:r>
    </w:p>
    <w:p w14:paraId="522EDB61" w14:textId="77777777" w:rsidR="0034526A" w:rsidRPr="00BF5F68" w:rsidRDefault="00BC413F" w:rsidP="0034526A">
      <w:pPr>
        <w:spacing w:beforeLines="40" w:before="96" w:line="240" w:lineRule="auto"/>
      </w:pPr>
      <w:r w:rsidRPr="00BF5F68">
        <w:rPr>
          <w:rFonts w:ascii="Times" w:hAnsi="Times"/>
          <w:i/>
        </w:rPr>
        <w:t>Knowledge and understanding</w:t>
      </w:r>
    </w:p>
    <w:p w14:paraId="6AA30329" w14:textId="77777777" w:rsidR="0034526A" w:rsidRPr="00BF5F68" w:rsidRDefault="00BC413F" w:rsidP="00BC413F">
      <w:pPr>
        <w:pStyle w:val="Paragrafoelenco"/>
        <w:numPr>
          <w:ilvl w:val="0"/>
          <w:numId w:val="5"/>
        </w:numPr>
        <w:spacing w:before="40"/>
        <w:ind w:left="284" w:hanging="284"/>
        <w:rPr>
          <w:rFonts w:ascii="Times" w:hAnsi="Times" w:cs="Times"/>
        </w:rPr>
      </w:pPr>
      <w:r w:rsidRPr="00BF5F68">
        <w:t>define and distinguish the different stages of psychological, personal, and interpersonal well-being</w:t>
      </w:r>
      <w:r w:rsidRPr="00BF5F68">
        <w:rPr>
          <w:rFonts w:ascii="Times" w:hAnsi="Times"/>
        </w:rPr>
        <w:t>.</w:t>
      </w:r>
    </w:p>
    <w:p w14:paraId="0ABD28EB" w14:textId="77777777" w:rsidR="0034526A" w:rsidRPr="00BF5F68" w:rsidRDefault="00BC413F" w:rsidP="005F74AF">
      <w:pPr>
        <w:pStyle w:val="Paragrafoelenco"/>
        <w:numPr>
          <w:ilvl w:val="0"/>
          <w:numId w:val="5"/>
        </w:numPr>
        <w:spacing w:before="40"/>
        <w:ind w:left="284" w:hanging="284"/>
        <w:rPr>
          <w:rFonts w:ascii="Times" w:hAnsi="Times" w:cs="Times"/>
        </w:rPr>
      </w:pPr>
      <w:r w:rsidRPr="00BF5F68">
        <w:rPr>
          <w:rFonts w:ascii="Times" w:hAnsi="Times"/>
        </w:rPr>
        <w:t xml:space="preserve">Know the most relevant theoretical models offered by literature on the key concepts of well-being, finding appropriate links and making comparisons between them. </w:t>
      </w:r>
    </w:p>
    <w:p w14:paraId="15D77DDD" w14:textId="77777777" w:rsidR="005F74AF" w:rsidRPr="00BF5F68" w:rsidRDefault="005F74AF" w:rsidP="0034526A">
      <w:pPr>
        <w:pStyle w:val="Paragrafoelenco"/>
        <w:numPr>
          <w:ilvl w:val="0"/>
          <w:numId w:val="5"/>
        </w:numPr>
        <w:spacing w:before="40"/>
        <w:ind w:left="284" w:hanging="284"/>
      </w:pPr>
      <w:r w:rsidRPr="00BF5F68">
        <w:rPr>
          <w:rFonts w:ascii="Times" w:hAnsi="Times"/>
        </w:rPr>
        <w:t>Know the main tools for well-being at the basis of cognitive, emotional, and relational processes, as well as some of the elements to assess and measure the concept of well-being.</w:t>
      </w:r>
    </w:p>
    <w:p w14:paraId="07044D7F" w14:textId="77777777" w:rsidR="0034526A" w:rsidRPr="00BF5F68" w:rsidRDefault="00BC413F" w:rsidP="0034526A">
      <w:pPr>
        <w:spacing w:beforeLines="40" w:before="96" w:line="240" w:lineRule="auto"/>
        <w:rPr>
          <w:rFonts w:ascii="Times" w:hAnsi="Times" w:cs="Times"/>
          <w:i/>
          <w:iCs/>
        </w:rPr>
      </w:pPr>
      <w:r w:rsidRPr="00BF5F68">
        <w:rPr>
          <w:rFonts w:ascii="Times" w:hAnsi="Times"/>
          <w:i/>
        </w:rPr>
        <w:t>Ability to apply knowledge and understanding</w:t>
      </w:r>
    </w:p>
    <w:p w14:paraId="4B1DBC2E" w14:textId="77777777" w:rsidR="0034526A" w:rsidRPr="00BF5F68" w:rsidRDefault="005F74AF" w:rsidP="0034526A">
      <w:pPr>
        <w:pStyle w:val="Paragrafoelenco"/>
        <w:numPr>
          <w:ilvl w:val="0"/>
          <w:numId w:val="4"/>
        </w:numPr>
        <w:spacing w:before="40"/>
        <w:ind w:left="284" w:hanging="284"/>
        <w:contextualSpacing w:val="0"/>
        <w:rPr>
          <w:rFonts w:ascii="Times" w:hAnsi="Times" w:cs="Times"/>
        </w:rPr>
      </w:pPr>
      <w:r w:rsidRPr="00BF5F68">
        <w:rPr>
          <w:rFonts w:ascii="Times" w:hAnsi="Times"/>
        </w:rPr>
        <w:t>Use the theoretical models explained during the course to interpret specific contexts.</w:t>
      </w:r>
    </w:p>
    <w:p w14:paraId="4EC90FA5" w14:textId="77777777" w:rsidR="005F74AF" w:rsidRPr="00BF5F68" w:rsidRDefault="005F74AF" w:rsidP="0034526A">
      <w:pPr>
        <w:pStyle w:val="Paragrafoelenco"/>
        <w:numPr>
          <w:ilvl w:val="0"/>
          <w:numId w:val="4"/>
        </w:numPr>
        <w:spacing w:before="40"/>
        <w:ind w:left="284" w:hanging="284"/>
        <w:contextualSpacing w:val="0"/>
        <w:rPr>
          <w:rFonts w:ascii="Times" w:hAnsi="Times" w:cs="Times"/>
        </w:rPr>
      </w:pPr>
      <w:r w:rsidRPr="00BF5F68">
        <w:rPr>
          <w:rFonts w:ascii="Times" w:hAnsi="Times"/>
        </w:rPr>
        <w:t>Acquire more self-awareness in the use of psychological tools for well-being.</w:t>
      </w:r>
    </w:p>
    <w:p w14:paraId="126A0C1A" w14:textId="77777777" w:rsidR="0034526A" w:rsidRPr="00BF5F68" w:rsidRDefault="005F74AF" w:rsidP="005F74AF">
      <w:pPr>
        <w:pStyle w:val="Paragrafoelenco"/>
        <w:numPr>
          <w:ilvl w:val="0"/>
          <w:numId w:val="4"/>
        </w:numPr>
        <w:spacing w:before="40"/>
        <w:ind w:left="284" w:hanging="284"/>
        <w:contextualSpacing w:val="0"/>
      </w:pPr>
      <w:r w:rsidRPr="00BF5F68">
        <w:rPr>
          <w:rFonts w:ascii="Times" w:hAnsi="Times"/>
        </w:rPr>
        <w:t>Plan and analyse interventions aimed to promote personal and interpersonal well-being</w:t>
      </w:r>
      <w:r w:rsidRPr="00BF5F68">
        <w:t>.</w:t>
      </w:r>
    </w:p>
    <w:p w14:paraId="095F0F26" w14:textId="77777777" w:rsidR="0034526A" w:rsidRPr="00BF5F68" w:rsidRDefault="005F74AF" w:rsidP="007B5FFD">
      <w:pPr>
        <w:pStyle w:val="Paragrafoelenco"/>
        <w:numPr>
          <w:ilvl w:val="0"/>
          <w:numId w:val="4"/>
        </w:numPr>
        <w:spacing w:before="40"/>
        <w:ind w:left="284" w:hanging="284"/>
        <w:contextualSpacing w:val="0"/>
      </w:pPr>
      <w:r w:rsidRPr="00BF5F68">
        <w:t xml:space="preserve">Use the key tools mentioned during the course (e.g. positive emotions, humour, narration, etc.) not only to promote personal well-being, but also to improve group interactions and analyse different forms of communication (e.g. simple and complex audio-visual narrations). </w:t>
      </w:r>
    </w:p>
    <w:p w14:paraId="1ED4E625" w14:textId="77777777" w:rsidR="0034526A" w:rsidRPr="00BF5F68" w:rsidRDefault="007B5FFD" w:rsidP="0034526A">
      <w:pPr>
        <w:spacing w:beforeLines="40" w:before="96" w:line="240" w:lineRule="auto"/>
        <w:rPr>
          <w:rFonts w:ascii="Times" w:hAnsi="Times" w:cs="Times"/>
          <w:i/>
          <w:iCs/>
        </w:rPr>
      </w:pPr>
      <w:r w:rsidRPr="00BF5F68">
        <w:rPr>
          <w:rFonts w:ascii="Times" w:hAnsi="Times"/>
          <w:i/>
        </w:rPr>
        <w:lastRenderedPageBreak/>
        <w:t>Independent judgment:</w:t>
      </w:r>
    </w:p>
    <w:p w14:paraId="688DDBE7" w14:textId="77777777" w:rsidR="0034526A" w:rsidRPr="00BF5F68" w:rsidRDefault="007B5FFD" w:rsidP="007B5FFD">
      <w:pPr>
        <w:pStyle w:val="Paragrafoelenco"/>
        <w:numPr>
          <w:ilvl w:val="0"/>
          <w:numId w:val="4"/>
        </w:numPr>
        <w:spacing w:beforeLines="40" w:before="96"/>
        <w:ind w:left="284" w:hanging="284"/>
        <w:contextualSpacing w:val="0"/>
        <w:rPr>
          <w:rFonts w:ascii="Times" w:hAnsi="Times" w:cs="Times"/>
        </w:rPr>
      </w:pPr>
      <w:r w:rsidRPr="00BF5F68">
        <w:rPr>
          <w:rFonts w:ascii="Times" w:hAnsi="Times"/>
        </w:rPr>
        <w:t>Adopt a critical approach towards the theoretical models on the processes and the concepts related to psychological well-being.</w:t>
      </w:r>
    </w:p>
    <w:p w14:paraId="253A0B2E" w14:textId="77777777" w:rsidR="007B5FFD" w:rsidRPr="00BF5F68" w:rsidRDefault="007B5FFD" w:rsidP="0034526A">
      <w:pPr>
        <w:pStyle w:val="Paragrafoelenco"/>
        <w:numPr>
          <w:ilvl w:val="0"/>
          <w:numId w:val="4"/>
        </w:numPr>
        <w:spacing w:beforeLines="40" w:before="96"/>
        <w:ind w:left="284" w:hanging="284"/>
        <w:contextualSpacing w:val="0"/>
        <w:rPr>
          <w:rFonts w:ascii="Times" w:hAnsi="Times" w:cs="Times"/>
        </w:rPr>
      </w:pPr>
      <w:r w:rsidRPr="00BF5F68">
        <w:rPr>
          <w:rFonts w:ascii="Times" w:hAnsi="Times"/>
        </w:rPr>
        <w:t>Face the complexity of the variables that are necessary to plan interventions in the field of the psychology of well-being.</w:t>
      </w:r>
    </w:p>
    <w:p w14:paraId="3ECBAA85" w14:textId="77777777" w:rsidR="0034526A" w:rsidRPr="00BF5F68" w:rsidRDefault="007B5FFD" w:rsidP="0072414D">
      <w:pPr>
        <w:pStyle w:val="Paragrafoelenco"/>
        <w:numPr>
          <w:ilvl w:val="0"/>
          <w:numId w:val="4"/>
        </w:numPr>
        <w:spacing w:beforeLines="40" w:before="96"/>
        <w:ind w:left="284" w:hanging="284"/>
        <w:contextualSpacing w:val="0"/>
        <w:rPr>
          <w:rFonts w:ascii="Times" w:hAnsi="Times" w:cs="Times"/>
        </w:rPr>
      </w:pPr>
      <w:r w:rsidRPr="00BF5F68">
        <w:rPr>
          <w:rFonts w:ascii="Times" w:hAnsi="Times"/>
        </w:rPr>
        <w:t>Make independent judgments on the degree and the quality of personal and interpersonal psychological well-being, based on a selection of data collected using the tools and the techniques explained during the course.</w:t>
      </w:r>
    </w:p>
    <w:p w14:paraId="26597CBF" w14:textId="77777777" w:rsidR="0034526A" w:rsidRPr="00BF5F68" w:rsidRDefault="007B5FFD" w:rsidP="0034526A">
      <w:pPr>
        <w:spacing w:before="240" w:after="120"/>
        <w:rPr>
          <w:b/>
          <w:sz w:val="18"/>
        </w:rPr>
      </w:pPr>
      <w:r w:rsidRPr="00BF5F68">
        <w:rPr>
          <w:b/>
          <w:i/>
          <w:sz w:val="18"/>
        </w:rPr>
        <w:t>COURSE CONTENT</w:t>
      </w:r>
    </w:p>
    <w:p w14:paraId="5213695A" w14:textId="77777777" w:rsidR="0034526A" w:rsidRPr="00BF5F68" w:rsidRDefault="007B5FFD" w:rsidP="007B5FFD">
      <w:pPr>
        <w:tabs>
          <w:tab w:val="clear" w:pos="284"/>
        </w:tabs>
        <w:spacing w:line="240" w:lineRule="auto"/>
        <w:rPr>
          <w:szCs w:val="20"/>
        </w:rPr>
      </w:pPr>
      <w:r w:rsidRPr="00BF5F68">
        <w:t xml:space="preserve">The course will be composed of two different modules. The first one will introduce the concepts of quality of life and personal psychological well-being, and analyse the theoretical models related to the concept of well-being. The second one, instead, will explore, both from a theoretical and practical perspective, some of the cognitive and emotional tools for the development of well-being. </w:t>
      </w:r>
    </w:p>
    <w:p w14:paraId="4DBD83DA" w14:textId="77777777" w:rsidR="0034526A" w:rsidRPr="00BF5F68" w:rsidRDefault="0034526A" w:rsidP="0034526A">
      <w:pPr>
        <w:tabs>
          <w:tab w:val="clear" w:pos="284"/>
        </w:tabs>
        <w:spacing w:before="120" w:line="240" w:lineRule="auto"/>
        <w:rPr>
          <w:i/>
          <w:iCs/>
          <w:szCs w:val="20"/>
        </w:rPr>
      </w:pPr>
      <w:r w:rsidRPr="00BF5F68">
        <w:rPr>
          <w:i/>
        </w:rPr>
        <w:t>Module 1 – Theoretical background</w:t>
      </w:r>
    </w:p>
    <w:p w14:paraId="4922E458" w14:textId="77777777" w:rsidR="002D26FA" w:rsidRPr="00BF5F68" w:rsidRDefault="00D46D86" w:rsidP="002D26FA">
      <w:pPr>
        <w:tabs>
          <w:tab w:val="clear" w:pos="284"/>
        </w:tabs>
        <w:spacing w:before="120" w:line="240" w:lineRule="auto"/>
        <w:rPr>
          <w:szCs w:val="20"/>
        </w:rPr>
      </w:pPr>
      <w:r w:rsidRPr="00BF5F68">
        <w:t>Unit 1. The dimensions of well-being</w:t>
      </w:r>
    </w:p>
    <w:p w14:paraId="5A9EE3A7" w14:textId="77777777" w:rsidR="002D26FA" w:rsidRPr="00BF5F68" w:rsidRDefault="002D26FA" w:rsidP="002D26FA">
      <w:pPr>
        <w:pStyle w:val="Paragrafoelenco"/>
        <w:numPr>
          <w:ilvl w:val="0"/>
          <w:numId w:val="6"/>
        </w:numPr>
      </w:pPr>
      <w:r w:rsidRPr="00BF5F68">
        <w:t>Positive Psychology</w:t>
      </w:r>
    </w:p>
    <w:p w14:paraId="1C9055C9" w14:textId="77777777" w:rsidR="002D26FA" w:rsidRPr="00BF5F68" w:rsidRDefault="002D26FA" w:rsidP="002D26FA">
      <w:pPr>
        <w:pStyle w:val="Paragrafoelenco"/>
        <w:numPr>
          <w:ilvl w:val="0"/>
          <w:numId w:val="6"/>
        </w:numPr>
      </w:pPr>
      <w:r w:rsidRPr="00BF5F68">
        <w:t>The quality of life, health, well-being, flourishing</w:t>
      </w:r>
    </w:p>
    <w:p w14:paraId="6837CADF" w14:textId="77777777" w:rsidR="002D26FA" w:rsidRPr="00BF5F68" w:rsidRDefault="002D26FA" w:rsidP="002D26FA">
      <w:pPr>
        <w:pStyle w:val="Paragrafoelenco"/>
        <w:numPr>
          <w:ilvl w:val="0"/>
          <w:numId w:val="6"/>
        </w:numPr>
      </w:pPr>
      <w:r w:rsidRPr="00BF5F68">
        <w:t>Hedonic and eudaimonic perspective: models and theories</w:t>
      </w:r>
    </w:p>
    <w:p w14:paraId="4217AA94" w14:textId="4CFF1C82" w:rsidR="0034526A" w:rsidRPr="00BF5F68" w:rsidRDefault="002D26FA" w:rsidP="002D26FA">
      <w:pPr>
        <w:pStyle w:val="Paragrafoelenco"/>
        <w:numPr>
          <w:ilvl w:val="0"/>
          <w:numId w:val="6"/>
        </w:numPr>
      </w:pPr>
      <w:r w:rsidRPr="00BF5F68">
        <w:t>Personal, psychological, and social well-being</w:t>
      </w:r>
    </w:p>
    <w:p w14:paraId="7C91B9B2" w14:textId="64795D9D" w:rsidR="002D26FA" w:rsidRPr="00BF5F68" w:rsidRDefault="002D26FA" w:rsidP="002D26FA">
      <w:pPr>
        <w:pStyle w:val="Paragrafoelenco"/>
        <w:spacing w:before="120"/>
        <w:ind w:left="0"/>
      </w:pPr>
      <w:r w:rsidRPr="00BF5F68">
        <w:t>Unit 2. Well-being: between context and personality</w:t>
      </w:r>
    </w:p>
    <w:p w14:paraId="7D8DE383" w14:textId="77777777" w:rsidR="002D26FA" w:rsidRPr="00BF5F68" w:rsidRDefault="002D26FA" w:rsidP="002D26FA">
      <w:pPr>
        <w:pStyle w:val="Paragrafoelenco"/>
        <w:numPr>
          <w:ilvl w:val="0"/>
          <w:numId w:val="6"/>
        </w:numPr>
      </w:pPr>
      <w:r w:rsidRPr="00BF5F68">
        <w:t xml:space="preserve">The factors influencing well-being </w:t>
      </w:r>
    </w:p>
    <w:p w14:paraId="475E108D" w14:textId="77777777" w:rsidR="002D26FA" w:rsidRPr="00BF5F68" w:rsidRDefault="002D26FA" w:rsidP="002D26FA">
      <w:pPr>
        <w:pStyle w:val="Paragrafoelenco"/>
        <w:numPr>
          <w:ilvl w:val="0"/>
          <w:numId w:val="6"/>
        </w:numPr>
      </w:pPr>
      <w:r w:rsidRPr="00BF5F68">
        <w:t>Positive personality</w:t>
      </w:r>
    </w:p>
    <w:p w14:paraId="7EADC3B7" w14:textId="77777777" w:rsidR="002D26FA" w:rsidRPr="00BF5F68" w:rsidRDefault="002D26FA" w:rsidP="002D26FA">
      <w:pPr>
        <w:pStyle w:val="Paragrafoelenco"/>
        <w:numPr>
          <w:ilvl w:val="0"/>
          <w:numId w:val="6"/>
        </w:numPr>
      </w:pPr>
      <w:r w:rsidRPr="00BF5F68">
        <w:t>Optimism</w:t>
      </w:r>
    </w:p>
    <w:p w14:paraId="6B3A4328" w14:textId="77777777" w:rsidR="002D26FA" w:rsidRPr="00BF5F68" w:rsidRDefault="002D26FA" w:rsidP="002D26FA">
      <w:pPr>
        <w:pStyle w:val="Paragrafoelenco"/>
        <w:numPr>
          <w:ilvl w:val="0"/>
          <w:numId w:val="6"/>
        </w:numPr>
      </w:pPr>
      <w:r w:rsidRPr="00BF5F68">
        <w:t>The psychology of strengths</w:t>
      </w:r>
    </w:p>
    <w:p w14:paraId="7053EA52" w14:textId="77777777" w:rsidR="0034526A" w:rsidRPr="00BF5F68" w:rsidRDefault="0034526A" w:rsidP="0034526A">
      <w:pPr>
        <w:tabs>
          <w:tab w:val="clear" w:pos="284"/>
        </w:tabs>
        <w:spacing w:before="120" w:line="240" w:lineRule="auto"/>
        <w:jc w:val="left"/>
        <w:rPr>
          <w:i/>
          <w:iCs/>
          <w:szCs w:val="20"/>
        </w:rPr>
      </w:pPr>
      <w:r w:rsidRPr="00BF5F68">
        <w:rPr>
          <w:i/>
        </w:rPr>
        <w:t>Module 2 - Tools for well-being: what can promote and what can sabotage well-being</w:t>
      </w:r>
    </w:p>
    <w:p w14:paraId="264C5550" w14:textId="77777777" w:rsidR="002D26FA" w:rsidRPr="00BF5F68" w:rsidRDefault="002D26FA" w:rsidP="002D26FA">
      <w:pPr>
        <w:tabs>
          <w:tab w:val="clear" w:pos="284"/>
        </w:tabs>
        <w:spacing w:line="240" w:lineRule="auto"/>
        <w:jc w:val="left"/>
        <w:rPr>
          <w:szCs w:val="20"/>
        </w:rPr>
      </w:pPr>
      <w:r w:rsidRPr="00BF5F68">
        <w:t>Unit 3. Intersubjectivity and attunement</w:t>
      </w:r>
    </w:p>
    <w:p w14:paraId="5971AB63" w14:textId="77777777" w:rsidR="002D26FA" w:rsidRPr="00BF5F68" w:rsidRDefault="002D26FA" w:rsidP="002D26FA">
      <w:pPr>
        <w:numPr>
          <w:ilvl w:val="0"/>
          <w:numId w:val="6"/>
        </w:numPr>
        <w:tabs>
          <w:tab w:val="clear" w:pos="284"/>
        </w:tabs>
        <w:spacing w:line="240" w:lineRule="auto"/>
        <w:jc w:val="left"/>
        <w:rPr>
          <w:szCs w:val="20"/>
        </w:rPr>
      </w:pPr>
      <w:r w:rsidRPr="00BF5F68">
        <w:t>Agency</w:t>
      </w:r>
    </w:p>
    <w:p w14:paraId="78C8E02F" w14:textId="77777777" w:rsidR="002D26FA" w:rsidRPr="00BF5F68" w:rsidRDefault="002D26FA" w:rsidP="002D26FA">
      <w:pPr>
        <w:numPr>
          <w:ilvl w:val="0"/>
          <w:numId w:val="6"/>
        </w:numPr>
        <w:tabs>
          <w:tab w:val="clear" w:pos="284"/>
        </w:tabs>
        <w:spacing w:line="240" w:lineRule="auto"/>
        <w:jc w:val="left"/>
        <w:rPr>
          <w:szCs w:val="20"/>
        </w:rPr>
      </w:pPr>
      <w:r w:rsidRPr="00BF5F68">
        <w:t>The basis of intersubjectivity</w:t>
      </w:r>
    </w:p>
    <w:p w14:paraId="4D4D6881" w14:textId="77777777" w:rsidR="002D26FA" w:rsidRPr="00BF5F68" w:rsidRDefault="002D26FA" w:rsidP="002D26FA">
      <w:pPr>
        <w:numPr>
          <w:ilvl w:val="0"/>
          <w:numId w:val="6"/>
        </w:numPr>
        <w:tabs>
          <w:tab w:val="clear" w:pos="284"/>
        </w:tabs>
        <w:spacing w:line="240" w:lineRule="auto"/>
        <w:jc w:val="left"/>
        <w:rPr>
          <w:szCs w:val="20"/>
        </w:rPr>
      </w:pPr>
      <w:r w:rsidRPr="00BF5F68">
        <w:t xml:space="preserve">Attunement (practical module) </w:t>
      </w:r>
    </w:p>
    <w:p w14:paraId="2DAEF967" w14:textId="77777777" w:rsidR="002D26FA" w:rsidRPr="00BF5F68" w:rsidRDefault="002D26FA" w:rsidP="002D26FA">
      <w:pPr>
        <w:tabs>
          <w:tab w:val="clear" w:pos="284"/>
        </w:tabs>
        <w:spacing w:line="240" w:lineRule="auto"/>
        <w:jc w:val="left"/>
        <w:rPr>
          <w:szCs w:val="20"/>
        </w:rPr>
      </w:pPr>
      <w:r w:rsidRPr="00BF5F68">
        <w:t>Unit 4.  Positive emotions</w:t>
      </w:r>
    </w:p>
    <w:p w14:paraId="2CA2A469" w14:textId="77777777" w:rsidR="002D26FA" w:rsidRPr="00BF5F68" w:rsidRDefault="002D26FA" w:rsidP="002D26FA">
      <w:pPr>
        <w:numPr>
          <w:ilvl w:val="0"/>
          <w:numId w:val="7"/>
        </w:numPr>
        <w:tabs>
          <w:tab w:val="clear" w:pos="284"/>
        </w:tabs>
        <w:spacing w:line="240" w:lineRule="auto"/>
        <w:jc w:val="left"/>
        <w:rPr>
          <w:szCs w:val="20"/>
        </w:rPr>
      </w:pPr>
      <w:r w:rsidRPr="00BF5F68">
        <w:t xml:space="preserve">B. Fredrickson’s contribution </w:t>
      </w:r>
    </w:p>
    <w:p w14:paraId="768A0843" w14:textId="77777777" w:rsidR="002D26FA" w:rsidRPr="00BF5F68" w:rsidRDefault="002D26FA" w:rsidP="002D26FA">
      <w:pPr>
        <w:numPr>
          <w:ilvl w:val="0"/>
          <w:numId w:val="7"/>
        </w:numPr>
        <w:tabs>
          <w:tab w:val="clear" w:pos="284"/>
        </w:tabs>
        <w:spacing w:line="240" w:lineRule="auto"/>
        <w:jc w:val="left"/>
        <w:rPr>
          <w:szCs w:val="20"/>
        </w:rPr>
      </w:pPr>
      <w:r w:rsidRPr="00BF5F68">
        <w:t>Epistemic emotions</w:t>
      </w:r>
    </w:p>
    <w:p w14:paraId="286BF46B" w14:textId="77777777" w:rsidR="002D26FA" w:rsidRPr="00BF5F68" w:rsidRDefault="002D26FA" w:rsidP="002D26FA">
      <w:pPr>
        <w:numPr>
          <w:ilvl w:val="0"/>
          <w:numId w:val="7"/>
        </w:numPr>
        <w:tabs>
          <w:tab w:val="clear" w:pos="284"/>
        </w:tabs>
        <w:spacing w:line="240" w:lineRule="auto"/>
        <w:jc w:val="left"/>
        <w:rPr>
          <w:szCs w:val="20"/>
        </w:rPr>
      </w:pPr>
      <w:r w:rsidRPr="00BF5F68">
        <w:t xml:space="preserve">“Self-transcendent” emotions </w:t>
      </w:r>
    </w:p>
    <w:p w14:paraId="486C7762" w14:textId="3F40839E" w:rsidR="0034526A" w:rsidRPr="00BF5F68" w:rsidRDefault="0034526A" w:rsidP="0034526A">
      <w:pPr>
        <w:tabs>
          <w:tab w:val="clear" w:pos="284"/>
        </w:tabs>
        <w:spacing w:before="120" w:line="240" w:lineRule="auto"/>
        <w:jc w:val="left"/>
        <w:rPr>
          <w:szCs w:val="20"/>
        </w:rPr>
      </w:pPr>
      <w:r w:rsidRPr="00BF5F68">
        <w:t>Unit 5. Humour</w:t>
      </w:r>
    </w:p>
    <w:p w14:paraId="042CB562" w14:textId="77777777" w:rsidR="0034526A" w:rsidRPr="00BF5F68" w:rsidRDefault="00D46D86" w:rsidP="0034526A">
      <w:pPr>
        <w:pStyle w:val="Paragrafoelenco"/>
        <w:numPr>
          <w:ilvl w:val="0"/>
          <w:numId w:val="6"/>
        </w:numPr>
        <w:jc w:val="left"/>
      </w:pPr>
      <w:r w:rsidRPr="00BF5F68">
        <w:t>The theoretical models of humour and comedy</w:t>
      </w:r>
    </w:p>
    <w:p w14:paraId="42372EB8" w14:textId="0F0E2DF5" w:rsidR="0034526A" w:rsidRPr="00BF5F68" w:rsidRDefault="00D46D86" w:rsidP="0034526A">
      <w:pPr>
        <w:pStyle w:val="Paragrafoelenco"/>
        <w:numPr>
          <w:ilvl w:val="0"/>
          <w:numId w:val="6"/>
        </w:numPr>
        <w:jc w:val="left"/>
      </w:pPr>
      <w:r w:rsidRPr="00BF5F68">
        <w:lastRenderedPageBreak/>
        <w:t>The functions of humour</w:t>
      </w:r>
    </w:p>
    <w:p w14:paraId="2EFD17AB" w14:textId="77777777" w:rsidR="002D26FA" w:rsidRPr="00BF5F68" w:rsidRDefault="002D26FA" w:rsidP="002D26FA">
      <w:pPr>
        <w:pStyle w:val="Paragrafoelenco"/>
        <w:numPr>
          <w:ilvl w:val="0"/>
          <w:numId w:val="6"/>
        </w:numPr>
        <w:jc w:val="left"/>
      </w:pPr>
      <w:r w:rsidRPr="00BF5F68">
        <w:t>Sense of humour</w:t>
      </w:r>
    </w:p>
    <w:p w14:paraId="3E81B9C3" w14:textId="77777777" w:rsidR="002D26FA" w:rsidRPr="00BF5F68" w:rsidRDefault="002D26FA" w:rsidP="002D26FA">
      <w:pPr>
        <w:pStyle w:val="Paragrafoelenco"/>
        <w:numPr>
          <w:ilvl w:val="0"/>
          <w:numId w:val="6"/>
        </w:numPr>
        <w:jc w:val="left"/>
      </w:pPr>
      <w:r w:rsidRPr="00BF5F68">
        <w:t>Humour and its effects on health and well-being</w:t>
      </w:r>
    </w:p>
    <w:p w14:paraId="5A081292" w14:textId="2380F027" w:rsidR="0034526A" w:rsidRPr="00BF5F68" w:rsidRDefault="00D46D86" w:rsidP="0034526A">
      <w:pPr>
        <w:tabs>
          <w:tab w:val="clear" w:pos="284"/>
        </w:tabs>
        <w:spacing w:before="120" w:line="240" w:lineRule="auto"/>
        <w:jc w:val="left"/>
        <w:rPr>
          <w:szCs w:val="20"/>
        </w:rPr>
      </w:pPr>
      <w:r w:rsidRPr="00BF5F68">
        <w:t>Unit 6. Narration: life stories</w:t>
      </w:r>
    </w:p>
    <w:p w14:paraId="02BD610E" w14:textId="77777777" w:rsidR="0034526A" w:rsidRPr="00BF5F68" w:rsidRDefault="00D46D86" w:rsidP="0034526A">
      <w:pPr>
        <w:pStyle w:val="Paragrafoelenco"/>
        <w:numPr>
          <w:ilvl w:val="0"/>
          <w:numId w:val="6"/>
        </w:numPr>
        <w:jc w:val="left"/>
      </w:pPr>
      <w:r w:rsidRPr="00BF5F68">
        <w:t>Narrative thought</w:t>
      </w:r>
    </w:p>
    <w:p w14:paraId="36410CC9" w14:textId="44E5C384" w:rsidR="0034526A" w:rsidRPr="00BF5F68" w:rsidRDefault="00D31CF2" w:rsidP="0034526A">
      <w:pPr>
        <w:pStyle w:val="Paragrafoelenco"/>
        <w:numPr>
          <w:ilvl w:val="0"/>
          <w:numId w:val="6"/>
        </w:numPr>
        <w:jc w:val="left"/>
      </w:pPr>
      <w:r w:rsidRPr="00BF5F68">
        <w:t xml:space="preserve">Cognitive usability </w:t>
      </w:r>
    </w:p>
    <w:p w14:paraId="3D8A817C" w14:textId="7C637FC8" w:rsidR="00F90045" w:rsidRPr="00BF5F68" w:rsidRDefault="002D26FA" w:rsidP="00F90045">
      <w:pPr>
        <w:pStyle w:val="Paragrafoelenco"/>
        <w:numPr>
          <w:ilvl w:val="0"/>
          <w:numId w:val="6"/>
        </w:numPr>
        <w:jc w:val="left"/>
      </w:pPr>
      <w:r w:rsidRPr="00BF5F68">
        <w:t>Autobiographical reasoning and life stories</w:t>
      </w:r>
    </w:p>
    <w:p w14:paraId="7894456C" w14:textId="112D6A87" w:rsidR="0034526A" w:rsidRPr="00BF5F68" w:rsidRDefault="00D31CF2" w:rsidP="0034526A">
      <w:pPr>
        <w:tabs>
          <w:tab w:val="clear" w:pos="284"/>
        </w:tabs>
        <w:spacing w:before="120" w:line="240" w:lineRule="auto"/>
        <w:jc w:val="left"/>
        <w:rPr>
          <w:szCs w:val="20"/>
        </w:rPr>
      </w:pPr>
      <w:r w:rsidRPr="00BF5F68">
        <w:t>Unit 7. Rumination and self-compassion</w:t>
      </w:r>
    </w:p>
    <w:p w14:paraId="6B383F3C" w14:textId="4116E777" w:rsidR="0034526A" w:rsidRPr="00BF5F68" w:rsidRDefault="00D31CF2" w:rsidP="0034526A">
      <w:pPr>
        <w:pStyle w:val="Paragrafoelenco"/>
        <w:numPr>
          <w:ilvl w:val="0"/>
          <w:numId w:val="6"/>
        </w:numPr>
        <w:jc w:val="left"/>
      </w:pPr>
      <w:r w:rsidRPr="00BF5F68">
        <w:t>Rumination: what is overthinking?</w:t>
      </w:r>
    </w:p>
    <w:p w14:paraId="36F90C1E" w14:textId="49CAAD91" w:rsidR="00F90045" w:rsidRPr="00BF5F68" w:rsidRDefault="00F90045" w:rsidP="0034526A">
      <w:pPr>
        <w:pStyle w:val="Paragrafoelenco"/>
        <w:numPr>
          <w:ilvl w:val="0"/>
          <w:numId w:val="6"/>
        </w:numPr>
        <w:jc w:val="left"/>
      </w:pPr>
      <w:r w:rsidRPr="00BF5F68">
        <w:t>Self-compassion</w:t>
      </w:r>
    </w:p>
    <w:p w14:paraId="6BBE1681" w14:textId="7349F081" w:rsidR="0034526A" w:rsidRPr="00BF5F68" w:rsidRDefault="00D31CF2" w:rsidP="0034526A">
      <w:pPr>
        <w:tabs>
          <w:tab w:val="clear" w:pos="284"/>
        </w:tabs>
        <w:spacing w:before="120" w:line="240" w:lineRule="auto"/>
        <w:jc w:val="left"/>
        <w:rPr>
          <w:szCs w:val="20"/>
        </w:rPr>
      </w:pPr>
      <w:r w:rsidRPr="00BF5F68">
        <w:t>Unit 8.  Design Thinking</w:t>
      </w:r>
    </w:p>
    <w:p w14:paraId="7672444D" w14:textId="77777777" w:rsidR="0034526A" w:rsidRPr="00BF5F68" w:rsidRDefault="0034526A" w:rsidP="0034526A">
      <w:pPr>
        <w:pStyle w:val="Paragrafoelenco"/>
        <w:numPr>
          <w:ilvl w:val="0"/>
          <w:numId w:val="7"/>
        </w:numPr>
        <w:jc w:val="left"/>
      </w:pPr>
      <w:r w:rsidRPr="00BF5F68">
        <w:t>Life Design</w:t>
      </w:r>
    </w:p>
    <w:p w14:paraId="18B33E7A" w14:textId="77777777" w:rsidR="0034526A" w:rsidRPr="00BF5F68" w:rsidRDefault="00D31CF2" w:rsidP="0034526A">
      <w:pPr>
        <w:pStyle w:val="Paragrafoelenco"/>
        <w:numPr>
          <w:ilvl w:val="0"/>
          <w:numId w:val="7"/>
        </w:numPr>
        <w:jc w:val="left"/>
      </w:pPr>
      <w:r w:rsidRPr="00BF5F68">
        <w:t>The vision of work and the vision of life</w:t>
      </w:r>
    </w:p>
    <w:p w14:paraId="2F709594" w14:textId="6A511576" w:rsidR="0034526A" w:rsidRPr="00BF5F68" w:rsidRDefault="00D31CF2" w:rsidP="0034526A">
      <w:pPr>
        <w:tabs>
          <w:tab w:val="clear" w:pos="284"/>
        </w:tabs>
        <w:spacing w:before="120" w:line="240" w:lineRule="auto"/>
        <w:jc w:val="left"/>
        <w:rPr>
          <w:szCs w:val="20"/>
        </w:rPr>
      </w:pPr>
      <w:r w:rsidRPr="00BF5F68">
        <w:t>Unit 9. The Flow</w:t>
      </w:r>
    </w:p>
    <w:p w14:paraId="0D271EA5" w14:textId="77777777" w:rsidR="0034526A" w:rsidRPr="00BF5F68" w:rsidRDefault="00D31CF2" w:rsidP="0034526A">
      <w:pPr>
        <w:pStyle w:val="Paragrafoelenco"/>
        <w:numPr>
          <w:ilvl w:val="0"/>
          <w:numId w:val="6"/>
        </w:numPr>
        <w:jc w:val="left"/>
      </w:pPr>
      <w:r w:rsidRPr="00BF5F68">
        <w:t>The concept of flow state</w:t>
      </w:r>
    </w:p>
    <w:p w14:paraId="30CF452F" w14:textId="77777777" w:rsidR="0034526A" w:rsidRPr="00BF5F68" w:rsidRDefault="00D31CF2" w:rsidP="0034526A">
      <w:pPr>
        <w:pStyle w:val="Paragrafoelenco"/>
        <w:numPr>
          <w:ilvl w:val="0"/>
          <w:numId w:val="6"/>
        </w:numPr>
        <w:jc w:val="left"/>
      </w:pPr>
      <w:r w:rsidRPr="00BF5F68">
        <w:t>The Networked Flow</w:t>
      </w:r>
    </w:p>
    <w:p w14:paraId="23A79DF2" w14:textId="77777777" w:rsidR="0034526A" w:rsidRPr="00BF5F68" w:rsidRDefault="00D31CF2" w:rsidP="0034526A">
      <w:pPr>
        <w:spacing w:before="240" w:after="120"/>
        <w:rPr>
          <w:b/>
          <w:i/>
          <w:sz w:val="18"/>
        </w:rPr>
      </w:pPr>
      <w:r w:rsidRPr="00BF5F68">
        <w:rPr>
          <w:b/>
          <w:i/>
          <w:sz w:val="18"/>
        </w:rPr>
        <w:t>READING LIST</w:t>
      </w:r>
    </w:p>
    <w:p w14:paraId="70631AD6" w14:textId="77777777" w:rsidR="0034526A" w:rsidRPr="00BF5F68" w:rsidRDefault="00D31CF2" w:rsidP="0034526A">
      <w:pPr>
        <w:pStyle w:val="Testo1"/>
        <w:ind w:left="0" w:firstLine="0"/>
      </w:pPr>
      <w:r w:rsidRPr="00BF5F68">
        <w:t>The final exam will be based on the teaching material available on Blackboard, and on the following textbooks:</w:t>
      </w:r>
    </w:p>
    <w:p w14:paraId="2509805A" w14:textId="77777777" w:rsidR="0034526A" w:rsidRPr="00BF5F68" w:rsidRDefault="00D31CF2" w:rsidP="0034526A">
      <w:pPr>
        <w:pStyle w:val="Testo1"/>
        <w:spacing w:before="0" w:line="240" w:lineRule="atLeast"/>
        <w:rPr>
          <w:smallCaps/>
          <w:noProof w:val="0"/>
          <w:spacing w:val="-5"/>
          <w:sz w:val="16"/>
          <w:szCs w:val="18"/>
          <w:lang w:val="it-IT"/>
        </w:rPr>
      </w:pPr>
      <w:r w:rsidRPr="00BF5F68">
        <w:rPr>
          <w:smallCaps/>
          <w:sz w:val="16"/>
          <w:lang w:val="it-IT"/>
        </w:rPr>
        <w:t>Module 1</w:t>
      </w:r>
    </w:p>
    <w:p w14:paraId="4DC8A7E4" w14:textId="77777777" w:rsidR="00414DB0" w:rsidRPr="00BF5F68" w:rsidRDefault="00414DB0" w:rsidP="00414DB0">
      <w:pPr>
        <w:pStyle w:val="Testo1"/>
        <w:spacing w:before="0" w:line="240" w:lineRule="atLeast"/>
        <w:rPr>
          <w:spacing w:val="-5"/>
          <w:szCs w:val="16"/>
          <w:lang w:val="it-IT"/>
        </w:rPr>
      </w:pPr>
      <w:r w:rsidRPr="00BF5F68">
        <w:rPr>
          <w:smallCaps/>
          <w:sz w:val="16"/>
          <w:lang w:val="it-IT"/>
        </w:rPr>
        <w:t xml:space="preserve">M. Zambianchi, </w:t>
      </w:r>
      <w:r w:rsidRPr="00BF5F68">
        <w:rPr>
          <w:i/>
          <w:lang w:val="it-IT"/>
        </w:rPr>
        <w:t>La psicologia positiva</w:t>
      </w:r>
      <w:r w:rsidRPr="00BF5F68">
        <w:rPr>
          <w:lang w:val="it-IT"/>
        </w:rPr>
        <w:t>. Carocci Editore, Rome.</w:t>
      </w:r>
    </w:p>
    <w:p w14:paraId="25DDA448" w14:textId="77777777" w:rsidR="00414DB0" w:rsidRPr="00BF5F68" w:rsidRDefault="00414DB0" w:rsidP="00414DB0">
      <w:pPr>
        <w:pStyle w:val="Testo1"/>
        <w:spacing w:before="0" w:line="240" w:lineRule="atLeast"/>
        <w:rPr>
          <w:spacing w:val="-5"/>
          <w:szCs w:val="16"/>
        </w:rPr>
      </w:pPr>
      <w:r w:rsidRPr="00BF5F68">
        <w:rPr>
          <w:smallCaps/>
          <w:sz w:val="16"/>
          <w:lang w:val="it-IT"/>
        </w:rPr>
        <w:t xml:space="preserve">C. Ruini, </w:t>
      </w:r>
      <w:r w:rsidRPr="00BF5F68">
        <w:rPr>
          <w:i/>
          <w:lang w:val="it-IT"/>
        </w:rPr>
        <w:t>Psicologia positiva e psicologia clinica. Una prospettiva integrata</w:t>
      </w:r>
      <w:r w:rsidRPr="00BF5F68">
        <w:rPr>
          <w:lang w:val="it-IT"/>
        </w:rPr>
        <w:t xml:space="preserve">. Il Mulino, Bologna. </w:t>
      </w:r>
      <w:r w:rsidRPr="00BF5F68">
        <w:t>Except: part III, paragraphs 3 and 4 of part IV.</w:t>
      </w:r>
    </w:p>
    <w:p w14:paraId="1D991394" w14:textId="77777777" w:rsidR="0034526A" w:rsidRPr="00BF5F68" w:rsidRDefault="00D31CF2" w:rsidP="0034526A">
      <w:pPr>
        <w:pStyle w:val="Testo1"/>
        <w:spacing w:line="240" w:lineRule="atLeast"/>
        <w:rPr>
          <w:smallCaps/>
          <w:noProof w:val="0"/>
          <w:spacing w:val="-5"/>
          <w:sz w:val="16"/>
          <w:szCs w:val="18"/>
        </w:rPr>
      </w:pPr>
      <w:r w:rsidRPr="00BF5F68">
        <w:rPr>
          <w:smallCaps/>
          <w:sz w:val="16"/>
        </w:rPr>
        <w:t>Module 2</w:t>
      </w:r>
    </w:p>
    <w:p w14:paraId="1490D38F" w14:textId="77777777" w:rsidR="0034526A" w:rsidRPr="00BF5F68" w:rsidRDefault="00D31CF2" w:rsidP="0034526A">
      <w:pPr>
        <w:pStyle w:val="Testo1"/>
        <w:spacing w:before="0" w:line="240" w:lineRule="atLeast"/>
        <w:rPr>
          <w:noProof w:val="0"/>
          <w:spacing w:val="-5"/>
          <w:szCs w:val="16"/>
        </w:rPr>
      </w:pPr>
      <w:r w:rsidRPr="00BF5F68">
        <w:t>Textbook of reference:</w:t>
      </w:r>
    </w:p>
    <w:p w14:paraId="1310D0AC" w14:textId="77777777" w:rsidR="0034526A" w:rsidRPr="00BF5F68" w:rsidRDefault="0034526A" w:rsidP="0034526A">
      <w:pPr>
        <w:pStyle w:val="Testo1"/>
        <w:spacing w:before="0" w:line="240" w:lineRule="atLeast"/>
        <w:rPr>
          <w:noProof w:val="0"/>
          <w:spacing w:val="-5"/>
          <w:szCs w:val="16"/>
        </w:rPr>
      </w:pPr>
      <w:r w:rsidRPr="00BF5F68">
        <w:rPr>
          <w:smallCaps/>
          <w:sz w:val="16"/>
        </w:rPr>
        <w:t xml:space="preserve">B. Burnett, D. Evans, </w:t>
      </w:r>
      <w:r w:rsidRPr="00BF5F68">
        <w:rPr>
          <w:i/>
        </w:rPr>
        <w:t xml:space="preserve">Design your life. </w:t>
      </w:r>
      <w:r w:rsidRPr="00BF5F68">
        <w:rPr>
          <w:i/>
          <w:lang w:val="it-IT"/>
        </w:rPr>
        <w:t xml:space="preserve">Come fare della tua vita un progetto meraviglioso. </w:t>
      </w:r>
      <w:r w:rsidRPr="00BF5F68">
        <w:t xml:space="preserve">Bur Rizzoli, Milan. </w:t>
      </w:r>
    </w:p>
    <w:p w14:paraId="0722010C" w14:textId="77777777" w:rsidR="0034526A" w:rsidRPr="00BF5F68" w:rsidRDefault="00D31CF2" w:rsidP="0034526A">
      <w:pPr>
        <w:pStyle w:val="Testo1"/>
        <w:spacing w:line="240" w:lineRule="atLeast"/>
        <w:rPr>
          <w:noProof w:val="0"/>
          <w:spacing w:val="-5"/>
          <w:szCs w:val="18"/>
        </w:rPr>
      </w:pPr>
      <w:r w:rsidRPr="00BF5F68">
        <w:t>In addition, students are invited to choose one of the following textbooks:</w:t>
      </w:r>
    </w:p>
    <w:p w14:paraId="3E8EE36E" w14:textId="77777777" w:rsidR="0034526A" w:rsidRPr="00BF5F68" w:rsidRDefault="0034526A" w:rsidP="0034526A">
      <w:pPr>
        <w:pStyle w:val="Testo1"/>
        <w:spacing w:before="0" w:line="240" w:lineRule="atLeast"/>
        <w:rPr>
          <w:noProof w:val="0"/>
          <w:spacing w:val="-5"/>
          <w:szCs w:val="18"/>
          <w:lang w:val="it-IT"/>
        </w:rPr>
      </w:pPr>
      <w:r w:rsidRPr="00BF5F68">
        <w:rPr>
          <w:smallCaps/>
          <w:sz w:val="16"/>
          <w:lang w:val="it-IT"/>
        </w:rPr>
        <w:t xml:space="preserve">A. Dionigi, P. Gremigni, </w:t>
      </w:r>
      <w:r w:rsidRPr="00BF5F68">
        <w:rPr>
          <w:i/>
          <w:lang w:val="it-IT"/>
        </w:rPr>
        <w:t xml:space="preserve">Psicologia dell’umorismo. </w:t>
      </w:r>
      <w:r w:rsidRPr="00BF5F68">
        <w:rPr>
          <w:lang w:val="it-IT"/>
        </w:rPr>
        <w:t>Carocci Editore, Rome.</w:t>
      </w:r>
    </w:p>
    <w:p w14:paraId="3F381EF8" w14:textId="15563421" w:rsidR="00F90045" w:rsidRPr="00BF5F68" w:rsidRDefault="00F90045" w:rsidP="00F90045">
      <w:pPr>
        <w:pStyle w:val="Testo1"/>
        <w:spacing w:before="0" w:line="240" w:lineRule="atLeast"/>
        <w:rPr>
          <w:noProof w:val="0"/>
          <w:spacing w:val="-5"/>
          <w:szCs w:val="18"/>
        </w:rPr>
      </w:pPr>
      <w:r w:rsidRPr="00BF5F68">
        <w:rPr>
          <w:smallCaps/>
          <w:sz w:val="16"/>
          <w:lang w:val="it-IT"/>
        </w:rPr>
        <w:t xml:space="preserve">K. Neff, </w:t>
      </w:r>
      <w:r w:rsidRPr="00BF5F68">
        <w:rPr>
          <w:i/>
          <w:sz w:val="16"/>
          <w:lang w:val="it-IT"/>
        </w:rPr>
        <w:t>La Self-Compassion. Il potere dell’essere gentili con se stessi.</w:t>
      </w:r>
      <w:r w:rsidRPr="00BF5F68">
        <w:rPr>
          <w:lang w:val="it-IT"/>
        </w:rPr>
        <w:t xml:space="preserve"> </w:t>
      </w:r>
      <w:r w:rsidRPr="00BF5F68">
        <w:t xml:space="preserve">Franco Angeli, Milan. Chapters: 1-6 and chapter 9. </w:t>
      </w:r>
    </w:p>
    <w:p w14:paraId="0ADABBE2" w14:textId="77777777" w:rsidR="0034526A" w:rsidRPr="00BF5F68" w:rsidRDefault="00D31CF2" w:rsidP="0034526A">
      <w:pPr>
        <w:spacing w:before="240" w:after="120" w:line="220" w:lineRule="exact"/>
        <w:rPr>
          <w:b/>
          <w:i/>
          <w:sz w:val="18"/>
        </w:rPr>
      </w:pPr>
      <w:r w:rsidRPr="00BF5F68">
        <w:rPr>
          <w:b/>
          <w:i/>
          <w:sz w:val="18"/>
        </w:rPr>
        <w:t>TEACHING METHOD</w:t>
      </w:r>
    </w:p>
    <w:p w14:paraId="04668EE4" w14:textId="77777777" w:rsidR="00D31CF2" w:rsidRPr="00BF5F68" w:rsidRDefault="00D31CF2" w:rsidP="0034526A">
      <w:pPr>
        <w:pStyle w:val="Testo2"/>
      </w:pPr>
      <w:r w:rsidRPr="00BF5F68">
        <w:t xml:space="preserve">Frontal lectures, in which students will have the opportunity to use appropriate experimentation, analytical, and intervention tools. </w:t>
      </w:r>
    </w:p>
    <w:p w14:paraId="6D8486BC" w14:textId="2D5E6DAC" w:rsidR="0034526A" w:rsidRPr="00BF5F68" w:rsidRDefault="00852D28" w:rsidP="0034526A">
      <w:pPr>
        <w:pStyle w:val="Testo2"/>
      </w:pPr>
      <w:r w:rsidRPr="00BF5F68">
        <w:t>In addition, students will be invited to attend practical activities based on the concept of psychological well-being and tuning (doc. Vismara).</w:t>
      </w:r>
    </w:p>
    <w:p w14:paraId="1031C632" w14:textId="77777777" w:rsidR="0034526A" w:rsidRPr="00BF5F68" w:rsidRDefault="00852D28" w:rsidP="0034526A">
      <w:pPr>
        <w:spacing w:before="240" w:after="120" w:line="220" w:lineRule="exact"/>
        <w:rPr>
          <w:b/>
          <w:i/>
          <w:sz w:val="18"/>
        </w:rPr>
      </w:pPr>
      <w:r w:rsidRPr="00BF5F68">
        <w:rPr>
          <w:b/>
          <w:i/>
          <w:sz w:val="18"/>
        </w:rPr>
        <w:lastRenderedPageBreak/>
        <w:t>ASSESSMENT METHOD AND CRITERIA</w:t>
      </w:r>
    </w:p>
    <w:p w14:paraId="397E1243" w14:textId="77777777" w:rsidR="00414DB0" w:rsidRPr="00BF5F68" w:rsidRDefault="00414DB0" w:rsidP="00414DB0">
      <w:pPr>
        <w:spacing w:before="120"/>
        <w:ind w:firstLine="284"/>
        <w:rPr>
          <w:rFonts w:ascii="Times" w:hAnsi="Times"/>
          <w:noProof/>
          <w:sz w:val="18"/>
          <w:szCs w:val="20"/>
        </w:rPr>
      </w:pPr>
      <w:r w:rsidRPr="00BF5F68">
        <w:rPr>
          <w:rFonts w:ascii="Times" w:hAnsi="Times"/>
          <w:sz w:val="18"/>
        </w:rPr>
        <w:t xml:space="preserve">The assessment of the intended learning outcomes will be carried out through: </w:t>
      </w:r>
    </w:p>
    <w:p w14:paraId="348F754D" w14:textId="54DABEFC" w:rsidR="00414DB0" w:rsidRPr="00BF5F68" w:rsidRDefault="00414DB0" w:rsidP="00414DB0">
      <w:pPr>
        <w:spacing w:before="120"/>
        <w:ind w:firstLine="284"/>
        <w:rPr>
          <w:rFonts w:ascii="Times" w:hAnsi="Times"/>
          <w:noProof/>
          <w:sz w:val="18"/>
          <w:szCs w:val="20"/>
        </w:rPr>
      </w:pPr>
      <w:r w:rsidRPr="00BF5F68">
        <w:rPr>
          <w:rFonts w:ascii="Times" w:hAnsi="Times"/>
          <w:sz w:val="18"/>
        </w:rPr>
        <w:t xml:space="preserve">- an oral exam with open-ended questions aimed to test the knowledge of the textbooks indicated in the reading list and the teaching material used during the lectures and available on </w:t>
      </w:r>
      <w:r w:rsidR="004A4E0C" w:rsidRPr="00BF5F68">
        <w:rPr>
          <w:rFonts w:ascii="Times" w:hAnsi="Times"/>
          <w:sz w:val="18"/>
        </w:rPr>
        <w:t>B</w:t>
      </w:r>
      <w:r w:rsidRPr="00BF5F68">
        <w:rPr>
          <w:rFonts w:ascii="Times" w:hAnsi="Times"/>
          <w:sz w:val="18"/>
        </w:rPr>
        <w:t xml:space="preserve">lackboard. During the oral exam, students will be asked questions testing a) the knowledge and understanding of the contents; b) the ability to reformulate topics from a personal perspective; c) the ability to identify contexts of application, with reference to the practical activities proposed during the course. The mark of the oral exam will be expressed in thirtieths and based on the accuracy of the information provided by students and the ability to find connections and identify possible applications.  </w:t>
      </w:r>
    </w:p>
    <w:p w14:paraId="7E93CE7B" w14:textId="77777777" w:rsidR="00414DB0" w:rsidRPr="00BF5F68" w:rsidRDefault="00414DB0" w:rsidP="00414DB0">
      <w:pPr>
        <w:spacing w:before="120"/>
        <w:ind w:firstLine="284"/>
        <w:rPr>
          <w:rFonts w:ascii="Times" w:hAnsi="Times"/>
          <w:noProof/>
          <w:sz w:val="18"/>
          <w:szCs w:val="20"/>
        </w:rPr>
      </w:pPr>
      <w:r w:rsidRPr="00BF5F68">
        <w:rPr>
          <w:rFonts w:ascii="Times" w:hAnsi="Times"/>
          <w:sz w:val="18"/>
        </w:rPr>
        <w:t xml:space="preserve">- a practical activity, to be carried out in small groups, consisting in the development of a Life Design project using the Design Thinking method. The practical activity will be assessed considering the following factors: a) The ability to understand and describe, in a coherent and exhaustive way, the path taken by a person; b) The ability to help someone to define and build their possible worlds; c) The ability to explain the choices made and the analysis proposed. The mark of the project will be expressed in thirtieths. </w:t>
      </w:r>
    </w:p>
    <w:p w14:paraId="076537C7" w14:textId="77777777" w:rsidR="00414DB0" w:rsidRPr="00BF5F68" w:rsidRDefault="00414DB0" w:rsidP="00414DB0">
      <w:pPr>
        <w:spacing w:before="120"/>
        <w:ind w:firstLine="284"/>
        <w:rPr>
          <w:rFonts w:ascii="Times" w:hAnsi="Times"/>
          <w:noProof/>
          <w:sz w:val="18"/>
          <w:szCs w:val="20"/>
        </w:rPr>
      </w:pPr>
      <w:r w:rsidRPr="00BF5F68">
        <w:rPr>
          <w:rFonts w:ascii="Times" w:hAnsi="Times"/>
          <w:sz w:val="18"/>
        </w:rPr>
        <w:t xml:space="preserve">The final mark will be expressed in thirtieths, resulting from the average between the oral exam and the project. The course will include two practical activities and some assignments aimed to experiment the different devices presented in class (syntonisation, positive emotions, strengths, self-compassion, and humour). The students completing 75% of these practical activities will be awarded with 2 extra points that will be added to the final mark. </w:t>
      </w:r>
    </w:p>
    <w:p w14:paraId="73AD3432" w14:textId="77777777" w:rsidR="0034526A" w:rsidRPr="00BF5F68" w:rsidRDefault="000A2C97" w:rsidP="0034526A">
      <w:pPr>
        <w:spacing w:before="240" w:after="120"/>
        <w:rPr>
          <w:b/>
          <w:i/>
          <w:sz w:val="18"/>
        </w:rPr>
      </w:pPr>
      <w:r w:rsidRPr="00BF5F68">
        <w:rPr>
          <w:b/>
          <w:i/>
          <w:sz w:val="18"/>
        </w:rPr>
        <w:t>NOTES AND PREREQUISITES</w:t>
      </w:r>
    </w:p>
    <w:p w14:paraId="56B869DC" w14:textId="77777777" w:rsidR="0034526A" w:rsidRPr="00BF5F68" w:rsidRDefault="000A2C97" w:rsidP="0034526A">
      <w:pPr>
        <w:pStyle w:val="Testo2"/>
      </w:pPr>
      <w:r w:rsidRPr="00BF5F68">
        <w:t xml:space="preserve">Students should have a basic knowledge of psychology and its key processes. </w:t>
      </w:r>
    </w:p>
    <w:p w14:paraId="7BC1F4F6" w14:textId="77777777" w:rsidR="0034526A" w:rsidRPr="00BF5F68" w:rsidRDefault="000A2C97" w:rsidP="0034526A">
      <w:pPr>
        <w:pStyle w:val="Testo2"/>
      </w:pPr>
      <w:r w:rsidRPr="00BF5F68">
        <w:t xml:space="preserve">Further information on the course and the teaching material (e.g. the pdf presentations used in class) will be made available on Blackboard, that is to say the E-Learning platform of the UCSC website. </w:t>
      </w:r>
    </w:p>
    <w:p w14:paraId="5ADF6B9D" w14:textId="77777777" w:rsidR="0020562A" w:rsidRPr="00BF5F68" w:rsidRDefault="0020562A" w:rsidP="0020562A">
      <w:pPr>
        <w:spacing w:before="120"/>
        <w:ind w:firstLine="284"/>
        <w:rPr>
          <w:sz w:val="18"/>
          <w:szCs w:val="18"/>
        </w:rPr>
      </w:pPr>
      <w:r w:rsidRPr="00BF5F68">
        <w:rPr>
          <w:sz w:val="18"/>
        </w:rPr>
        <w:t>In case the current Covid-19 health emergency does not allow frontal teaching, remote teaching will be carried out following procedures that will be promptly notified to students.</w:t>
      </w:r>
    </w:p>
    <w:p w14:paraId="483055C1" w14:textId="77777777" w:rsidR="00A9295A" w:rsidRPr="0020562A" w:rsidRDefault="0020562A" w:rsidP="0020562A">
      <w:pPr>
        <w:spacing w:before="120" w:line="220" w:lineRule="exact"/>
        <w:ind w:firstLine="284"/>
        <w:rPr>
          <w:rFonts w:ascii="Times" w:hAnsi="Times"/>
          <w:i/>
          <w:noProof/>
          <w:sz w:val="18"/>
          <w:szCs w:val="20"/>
        </w:rPr>
      </w:pPr>
      <w:r w:rsidRPr="00BF5F68">
        <w:rPr>
          <w:rFonts w:ascii="Times" w:hAnsi="Times"/>
          <w:sz w:val="18"/>
        </w:rPr>
        <w:t>Further information can be found on the lecturer's webpage at http://docenti.unicatt.it/web/searchByName.do?language=ENG or on the Faculty notice board.</w:t>
      </w:r>
    </w:p>
    <w:sectPr w:rsidR="00A9295A" w:rsidRPr="002056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ACFA" w14:textId="77777777" w:rsidR="007C0AE8" w:rsidRDefault="007C0AE8" w:rsidP="00EB7FB2">
      <w:pPr>
        <w:spacing w:line="240" w:lineRule="auto"/>
      </w:pPr>
      <w:r>
        <w:separator/>
      </w:r>
    </w:p>
  </w:endnote>
  <w:endnote w:type="continuationSeparator" w:id="0">
    <w:p w14:paraId="57345F12" w14:textId="77777777" w:rsidR="007C0AE8" w:rsidRDefault="007C0AE8" w:rsidP="00EB7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272D" w14:textId="77777777" w:rsidR="007C0AE8" w:rsidRDefault="007C0AE8" w:rsidP="00EB7FB2">
      <w:pPr>
        <w:spacing w:line="240" w:lineRule="auto"/>
      </w:pPr>
      <w:r>
        <w:separator/>
      </w:r>
    </w:p>
  </w:footnote>
  <w:footnote w:type="continuationSeparator" w:id="0">
    <w:p w14:paraId="5FF497B9" w14:textId="77777777" w:rsidR="007C0AE8" w:rsidRDefault="007C0AE8" w:rsidP="00EB7F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F90"/>
    <w:multiLevelType w:val="hybridMultilevel"/>
    <w:tmpl w:val="2804A160"/>
    <w:lvl w:ilvl="0" w:tplc="CAD04C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422208"/>
    <w:multiLevelType w:val="hybridMultilevel"/>
    <w:tmpl w:val="AC2211DC"/>
    <w:lvl w:ilvl="0" w:tplc="1B8C51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4B80CAD"/>
    <w:multiLevelType w:val="hybridMultilevel"/>
    <w:tmpl w:val="B788763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EB00ECE"/>
    <w:multiLevelType w:val="hybridMultilevel"/>
    <w:tmpl w:val="310ACD6A"/>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EB2046"/>
    <w:multiLevelType w:val="hybridMultilevel"/>
    <w:tmpl w:val="C5E6B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8A08DA"/>
    <w:multiLevelType w:val="hybridMultilevel"/>
    <w:tmpl w:val="A56A5274"/>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C1059E"/>
    <w:multiLevelType w:val="hybridMultilevel"/>
    <w:tmpl w:val="12A8F4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4806198">
    <w:abstractNumId w:val="2"/>
  </w:num>
  <w:num w:numId="2" w16cid:durableId="1938053620">
    <w:abstractNumId w:val="6"/>
  </w:num>
  <w:num w:numId="3" w16cid:durableId="1201015928">
    <w:abstractNumId w:val="1"/>
  </w:num>
  <w:num w:numId="4" w16cid:durableId="924151115">
    <w:abstractNumId w:val="4"/>
  </w:num>
  <w:num w:numId="5" w16cid:durableId="1431388599">
    <w:abstractNumId w:val="3"/>
  </w:num>
  <w:num w:numId="6" w16cid:durableId="1076708686">
    <w:abstractNumId w:val="0"/>
  </w:num>
  <w:num w:numId="7" w16cid:durableId="66539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7800"/>
    <w:rsid w:val="000304A4"/>
    <w:rsid w:val="000A2C97"/>
    <w:rsid w:val="00116A02"/>
    <w:rsid w:val="00187B99"/>
    <w:rsid w:val="001E1967"/>
    <w:rsid w:val="002014DD"/>
    <w:rsid w:val="0020562A"/>
    <w:rsid w:val="00234046"/>
    <w:rsid w:val="002A53DF"/>
    <w:rsid w:val="002D26FA"/>
    <w:rsid w:val="0034526A"/>
    <w:rsid w:val="003D01D4"/>
    <w:rsid w:val="00414DB0"/>
    <w:rsid w:val="004657A6"/>
    <w:rsid w:val="004A4E0C"/>
    <w:rsid w:val="004C6EE8"/>
    <w:rsid w:val="004D1217"/>
    <w:rsid w:val="004D6008"/>
    <w:rsid w:val="005027BA"/>
    <w:rsid w:val="00520F07"/>
    <w:rsid w:val="005B267C"/>
    <w:rsid w:val="005F74AF"/>
    <w:rsid w:val="00685B90"/>
    <w:rsid w:val="006C08FA"/>
    <w:rsid w:val="006F1772"/>
    <w:rsid w:val="007369BD"/>
    <w:rsid w:val="00750818"/>
    <w:rsid w:val="007928CB"/>
    <w:rsid w:val="00797DE9"/>
    <w:rsid w:val="007B5FFD"/>
    <w:rsid w:val="007C0AE8"/>
    <w:rsid w:val="0084741D"/>
    <w:rsid w:val="00852D28"/>
    <w:rsid w:val="008A1204"/>
    <w:rsid w:val="008B47AB"/>
    <w:rsid w:val="00900CCA"/>
    <w:rsid w:val="00907C21"/>
    <w:rsid w:val="00924B77"/>
    <w:rsid w:val="00940DA2"/>
    <w:rsid w:val="009B7F69"/>
    <w:rsid w:val="009E055C"/>
    <w:rsid w:val="00A74F6F"/>
    <w:rsid w:val="00A9295A"/>
    <w:rsid w:val="00AB0B93"/>
    <w:rsid w:val="00AD7557"/>
    <w:rsid w:val="00B06D85"/>
    <w:rsid w:val="00B51253"/>
    <w:rsid w:val="00B525CC"/>
    <w:rsid w:val="00BC413F"/>
    <w:rsid w:val="00BF5F68"/>
    <w:rsid w:val="00C54373"/>
    <w:rsid w:val="00CB1233"/>
    <w:rsid w:val="00CD67E2"/>
    <w:rsid w:val="00D31CF2"/>
    <w:rsid w:val="00D404F2"/>
    <w:rsid w:val="00D46D86"/>
    <w:rsid w:val="00D64261"/>
    <w:rsid w:val="00DD7127"/>
    <w:rsid w:val="00E55726"/>
    <w:rsid w:val="00E607E6"/>
    <w:rsid w:val="00E949F6"/>
    <w:rsid w:val="00EB7FB2"/>
    <w:rsid w:val="00F9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7648D"/>
  <w15:docId w15:val="{F3B8A604-7295-462B-9645-B58B30ED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295A"/>
    <w:pPr>
      <w:tabs>
        <w:tab w:val="clear" w:pos="284"/>
      </w:tabs>
      <w:spacing w:line="240" w:lineRule="auto"/>
      <w:ind w:left="720"/>
      <w:contextualSpacing/>
    </w:pPr>
    <w:rPr>
      <w:szCs w:val="20"/>
    </w:rPr>
  </w:style>
  <w:style w:type="paragraph" w:styleId="Testonotaapidipagina">
    <w:name w:val="footnote text"/>
    <w:basedOn w:val="Normale"/>
    <w:link w:val="TestonotaapidipaginaCarattere"/>
    <w:semiHidden/>
    <w:unhideWhenUsed/>
    <w:rsid w:val="00EB7FB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B7FB2"/>
  </w:style>
  <w:style w:type="character" w:styleId="Rimandonotaapidipagina">
    <w:name w:val="footnote reference"/>
    <w:basedOn w:val="Carpredefinitoparagrafo"/>
    <w:semiHidden/>
    <w:unhideWhenUsed/>
    <w:rsid w:val="00EB7FB2"/>
    <w:rPr>
      <w:vertAlign w:val="superscript"/>
    </w:rPr>
  </w:style>
  <w:style w:type="character" w:styleId="Collegamentoipertestuale">
    <w:name w:val="Hyperlink"/>
    <w:basedOn w:val="Carpredefinitoparagrafo"/>
    <w:unhideWhenUsed/>
    <w:rsid w:val="00EB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4489">
      <w:bodyDiv w:val="1"/>
      <w:marLeft w:val="0"/>
      <w:marRight w:val="0"/>
      <w:marTop w:val="0"/>
      <w:marBottom w:val="0"/>
      <w:divBdr>
        <w:top w:val="none" w:sz="0" w:space="0" w:color="auto"/>
        <w:left w:val="none" w:sz="0" w:space="0" w:color="auto"/>
        <w:bottom w:val="none" w:sz="0" w:space="0" w:color="auto"/>
        <w:right w:val="none" w:sz="0" w:space="0" w:color="auto"/>
      </w:divBdr>
      <w:divsChild>
        <w:div w:id="1327972083">
          <w:marLeft w:val="0"/>
          <w:marRight w:val="0"/>
          <w:marTop w:val="0"/>
          <w:marBottom w:val="0"/>
          <w:divBdr>
            <w:top w:val="none" w:sz="0" w:space="0" w:color="auto"/>
            <w:left w:val="none" w:sz="0" w:space="0" w:color="auto"/>
            <w:bottom w:val="none" w:sz="0" w:space="0" w:color="auto"/>
            <w:right w:val="none" w:sz="0" w:space="0" w:color="auto"/>
          </w:divBdr>
          <w:divsChild>
            <w:div w:id="476840438">
              <w:marLeft w:val="0"/>
              <w:marRight w:val="0"/>
              <w:marTop w:val="0"/>
              <w:marBottom w:val="0"/>
              <w:divBdr>
                <w:top w:val="none" w:sz="0" w:space="0" w:color="auto"/>
                <w:left w:val="none" w:sz="0" w:space="0" w:color="auto"/>
                <w:bottom w:val="none" w:sz="0" w:space="0" w:color="auto"/>
                <w:right w:val="none" w:sz="0" w:space="0" w:color="auto"/>
              </w:divBdr>
              <w:divsChild>
                <w:div w:id="3053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3097">
      <w:bodyDiv w:val="1"/>
      <w:marLeft w:val="0"/>
      <w:marRight w:val="0"/>
      <w:marTop w:val="0"/>
      <w:marBottom w:val="0"/>
      <w:divBdr>
        <w:top w:val="none" w:sz="0" w:space="0" w:color="auto"/>
        <w:left w:val="none" w:sz="0" w:space="0" w:color="auto"/>
        <w:bottom w:val="none" w:sz="0" w:space="0" w:color="auto"/>
        <w:right w:val="none" w:sz="0" w:space="0" w:color="auto"/>
      </w:divBdr>
      <w:divsChild>
        <w:div w:id="171066377">
          <w:marLeft w:val="0"/>
          <w:marRight w:val="0"/>
          <w:marTop w:val="0"/>
          <w:marBottom w:val="0"/>
          <w:divBdr>
            <w:top w:val="none" w:sz="0" w:space="0" w:color="auto"/>
            <w:left w:val="none" w:sz="0" w:space="0" w:color="auto"/>
            <w:bottom w:val="none" w:sz="0" w:space="0" w:color="auto"/>
            <w:right w:val="none" w:sz="0" w:space="0" w:color="auto"/>
          </w:divBdr>
          <w:divsChild>
            <w:div w:id="116262569">
              <w:marLeft w:val="0"/>
              <w:marRight w:val="0"/>
              <w:marTop w:val="0"/>
              <w:marBottom w:val="0"/>
              <w:divBdr>
                <w:top w:val="none" w:sz="0" w:space="0" w:color="auto"/>
                <w:left w:val="none" w:sz="0" w:space="0" w:color="auto"/>
                <w:bottom w:val="none" w:sz="0" w:space="0" w:color="auto"/>
                <w:right w:val="none" w:sz="0" w:space="0" w:color="auto"/>
              </w:divBdr>
              <w:divsChild>
                <w:div w:id="1871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004">
      <w:bodyDiv w:val="1"/>
      <w:marLeft w:val="0"/>
      <w:marRight w:val="0"/>
      <w:marTop w:val="0"/>
      <w:marBottom w:val="0"/>
      <w:divBdr>
        <w:top w:val="none" w:sz="0" w:space="0" w:color="auto"/>
        <w:left w:val="none" w:sz="0" w:space="0" w:color="auto"/>
        <w:bottom w:val="none" w:sz="0" w:space="0" w:color="auto"/>
        <w:right w:val="none" w:sz="0" w:space="0" w:color="auto"/>
      </w:divBdr>
      <w:divsChild>
        <w:div w:id="1966882948">
          <w:marLeft w:val="0"/>
          <w:marRight w:val="0"/>
          <w:marTop w:val="0"/>
          <w:marBottom w:val="0"/>
          <w:divBdr>
            <w:top w:val="none" w:sz="0" w:space="0" w:color="auto"/>
            <w:left w:val="none" w:sz="0" w:space="0" w:color="auto"/>
            <w:bottom w:val="none" w:sz="0" w:space="0" w:color="auto"/>
            <w:right w:val="none" w:sz="0" w:space="0" w:color="auto"/>
          </w:divBdr>
          <w:divsChild>
            <w:div w:id="1662389712">
              <w:marLeft w:val="0"/>
              <w:marRight w:val="0"/>
              <w:marTop w:val="0"/>
              <w:marBottom w:val="0"/>
              <w:divBdr>
                <w:top w:val="none" w:sz="0" w:space="0" w:color="auto"/>
                <w:left w:val="none" w:sz="0" w:space="0" w:color="auto"/>
                <w:bottom w:val="none" w:sz="0" w:space="0" w:color="auto"/>
                <w:right w:val="none" w:sz="0" w:space="0" w:color="auto"/>
              </w:divBdr>
              <w:divsChild>
                <w:div w:id="1673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36AA-2CC1-461F-BA1A-054F3B49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6277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2022-07-03T20:29:00Z</dcterms:created>
  <dcterms:modified xsi:type="dcterms:W3CDTF">2022-12-05T10:40:00Z</dcterms:modified>
</cp:coreProperties>
</file>