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CDB00" w14:textId="77777777" w:rsidR="00646B73" w:rsidRPr="00385AB9" w:rsidRDefault="00E87BC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480"/>
        <w:ind w:left="284" w:hanging="284"/>
        <w:outlineLvl w:val="0"/>
        <w:rPr>
          <w:rFonts w:ascii="Times" w:eastAsia="Arial Unicode MS" w:hAnsi="Times" w:cs="Arial Unicode MS"/>
          <w:b/>
          <w:color w:val="000000"/>
          <w:u w:color="000000"/>
          <w:bdr w:val="nil"/>
        </w:rPr>
      </w:pPr>
      <w:r w:rsidRPr="00385AB9">
        <w:rPr>
          <w:rFonts w:ascii="Times" w:eastAsia="Arial Unicode MS" w:hAnsi="Times" w:cs="Arial Unicode MS"/>
          <w:b/>
          <w:color w:val="000000"/>
          <w:u w:color="000000"/>
          <w:bdr w:val="nil"/>
        </w:rPr>
        <w:t>Psychology Applied to Social Marketing</w:t>
      </w:r>
    </w:p>
    <w:p w14:paraId="312BECC6" w14:textId="298BEEEB" w:rsidR="008373FF" w:rsidRPr="00D92E6D" w:rsidRDefault="008373FF" w:rsidP="008373FF">
      <w:pPr>
        <w:pStyle w:val="Titolo2"/>
        <w:rPr>
          <w:lang w:val="en-US"/>
        </w:rPr>
      </w:pPr>
      <w:r w:rsidRPr="00385AB9">
        <w:t xml:space="preserve">Prof. </w:t>
      </w:r>
      <w:r w:rsidRPr="00D92E6D">
        <w:rPr>
          <w:lang w:val="en-US"/>
        </w:rPr>
        <w:t>Guendalina Graffigna</w:t>
      </w:r>
      <w:r w:rsidR="00E36E08">
        <w:rPr>
          <w:lang w:val="en-US"/>
        </w:rPr>
        <w:t xml:space="preserve">; </w:t>
      </w:r>
      <w:r w:rsidR="00E36E08">
        <w:t>Prof</w:t>
      </w:r>
      <w:r w:rsidR="00E36E08">
        <w:t>. Maria Rosaria Savarese</w:t>
      </w:r>
    </w:p>
    <w:p w14:paraId="18420A04" w14:textId="77777777" w:rsidR="00646B73" w:rsidRPr="00385AB9" w:rsidRDefault="00E87BCD">
      <w:pPr>
        <w:spacing w:before="240" w:after="120"/>
        <w:rPr>
          <w:b/>
          <w:sz w:val="18"/>
        </w:rPr>
      </w:pPr>
      <w:r w:rsidRPr="00385AB9">
        <w:rPr>
          <w:b/>
          <w:i/>
          <w:sz w:val="18"/>
        </w:rPr>
        <w:t>COURSE AIMS AND INTENDED LEARNING OUTCOMES</w:t>
      </w:r>
    </w:p>
    <w:p w14:paraId="3887075B" w14:textId="2AAE8ACD" w:rsidR="00646B73" w:rsidRPr="00385AB9" w:rsidRDefault="00E87BCD">
      <w:pPr>
        <w:spacing w:before="240" w:after="120"/>
        <w:rPr>
          <w:i/>
        </w:rPr>
      </w:pPr>
      <w:r w:rsidRPr="00385AB9">
        <w:rPr>
          <w:i/>
        </w:rPr>
        <w:t>Knowledge and understanding</w:t>
      </w:r>
    </w:p>
    <w:p w14:paraId="2D68B419" w14:textId="5FE70CA1" w:rsidR="00646B73" w:rsidRPr="00385AB9" w:rsidRDefault="00E87BCD">
      <w:r w:rsidRPr="00385AB9">
        <w:t>The course aims to provide the basic theoretical knowledge and application skills to design and evaluate a social marketing campaign, guided by psychological models of behavioural change.</w:t>
      </w:r>
    </w:p>
    <w:p w14:paraId="24D1F85A" w14:textId="77777777" w:rsidR="00646B73" w:rsidRPr="00385AB9" w:rsidRDefault="00E87BCD">
      <w:pPr>
        <w:spacing w:before="120"/>
      </w:pPr>
      <w:r w:rsidRPr="00385AB9">
        <w:t>Specifically, at the end of the course, students are expected to have acquired:</w:t>
      </w:r>
    </w:p>
    <w:p w14:paraId="2631634C" w14:textId="632C4986" w:rsidR="00646B73" w:rsidRPr="00385AB9" w:rsidRDefault="00E87BCD">
      <w:pPr>
        <w:ind w:left="284" w:hanging="284"/>
      </w:pPr>
      <w:r w:rsidRPr="00385AB9">
        <w:t>-</w:t>
      </w:r>
      <w:r w:rsidRPr="00385AB9">
        <w:tab/>
        <w:t>critical and in-depth knowledge on the characteristics and recent developments of marketing and social communication</w:t>
      </w:r>
      <w:r w:rsidR="00FD2181" w:rsidRPr="00385AB9">
        <w:t>;</w:t>
      </w:r>
    </w:p>
    <w:p w14:paraId="4FBB22D7" w14:textId="2E9C68A9" w:rsidR="00646B73" w:rsidRPr="00385AB9" w:rsidRDefault="00E87BCD">
      <w:pPr>
        <w:ind w:left="284" w:hanging="284"/>
      </w:pPr>
      <w:r w:rsidRPr="00385AB9">
        <w:t>-</w:t>
      </w:r>
      <w:r w:rsidRPr="00385AB9">
        <w:tab/>
        <w:t xml:space="preserve">knowledge and </w:t>
      </w:r>
      <w:r w:rsidR="00093C97" w:rsidRPr="00385AB9">
        <w:t>competences</w:t>
      </w:r>
      <w:r w:rsidRPr="00385AB9">
        <w:t xml:space="preserve"> related to the processes of applying the concepts of psychology to social marketing campaigns, with particular attention to the marketing of health and well-being, and to the marketing of social responsibility and environmental sustainability; </w:t>
      </w:r>
    </w:p>
    <w:p w14:paraId="59346FD7" w14:textId="77777777" w:rsidR="00646B73" w:rsidRPr="00385AB9" w:rsidRDefault="00E87BCD">
      <w:pPr>
        <w:ind w:left="284" w:hanging="284"/>
      </w:pPr>
      <w:r w:rsidRPr="00385AB9">
        <w:t>-</w:t>
      </w:r>
      <w:r w:rsidRPr="00385AB9">
        <w:tab/>
        <w:t>knowledge about the tools and methods for the psycho-social planning and evaluation of social marketing campaigns;</w:t>
      </w:r>
    </w:p>
    <w:p w14:paraId="4BB36DDC" w14:textId="607FE234" w:rsidR="00646B73" w:rsidRPr="00385AB9" w:rsidRDefault="00E87BCD">
      <w:pPr>
        <w:ind w:left="284" w:hanging="284"/>
      </w:pPr>
      <w:r w:rsidRPr="00385AB9">
        <w:t>-</w:t>
      </w:r>
      <w:r w:rsidRPr="00385AB9">
        <w:tab/>
        <w:t xml:space="preserve">knowledge about the design and evaluation methodologies of social and environmental marketing initiatives within the context of the </w:t>
      </w:r>
      <w:r w:rsidRPr="00385AB9">
        <w:rPr>
          <w:i/>
        </w:rPr>
        <w:t>Corporate Social Responsibility</w:t>
      </w:r>
      <w:r w:rsidRPr="00385AB9">
        <w:t xml:space="preserve"> paradigm</w:t>
      </w:r>
      <w:r w:rsidR="00FD2181" w:rsidRPr="00385AB9">
        <w:t>.</w:t>
      </w:r>
    </w:p>
    <w:p w14:paraId="047EB1E0" w14:textId="007B34A5" w:rsidR="00646B73" w:rsidRPr="00385AB9" w:rsidRDefault="00E87BCD">
      <w:pPr>
        <w:spacing w:before="120"/>
        <w:rPr>
          <w:i/>
        </w:rPr>
      </w:pPr>
      <w:r w:rsidRPr="00385AB9">
        <w:rPr>
          <w:i/>
        </w:rPr>
        <w:t>Ability to apply knowledge and understanding</w:t>
      </w:r>
    </w:p>
    <w:p w14:paraId="0B7A8C76" w14:textId="109B3AEE" w:rsidR="00646B73" w:rsidRPr="00385AB9" w:rsidRDefault="00E87BCD">
      <w:pPr>
        <w:tabs>
          <w:tab w:val="clear" w:pos="284"/>
        </w:tabs>
      </w:pPr>
      <w:r w:rsidRPr="00385AB9">
        <w:t xml:space="preserve">At the end of the course, students will know and be able to describe the main paradigms and methods of psychology applied to social marketing. </w:t>
      </w:r>
    </w:p>
    <w:p w14:paraId="776B332D" w14:textId="357EF184" w:rsidR="00646B73" w:rsidRPr="00385AB9" w:rsidRDefault="00E87BCD">
      <w:pPr>
        <w:tabs>
          <w:tab w:val="clear" w:pos="284"/>
        </w:tabs>
      </w:pPr>
      <w:r w:rsidRPr="00385AB9">
        <w:t>Furthermore, at the end of the course, students will be able to choose and orient themselves among the different technical-methodological approaches of psychology to social marketing, in order to meet the requests of a client and/or a real application context.</w:t>
      </w:r>
    </w:p>
    <w:p w14:paraId="0EA0AC75" w14:textId="2946289B" w:rsidR="00646B73" w:rsidRPr="00385AB9" w:rsidRDefault="00E87BCD">
      <w:r w:rsidRPr="00385AB9">
        <w:t>Finally, thanks to the lectures and practical activities, students will be able to apply their acquired knowledge to the design of psychological communication and social marketing initiatives aimed at promoting well-being and health, social responsibility and environmental sustainability.</w:t>
      </w:r>
    </w:p>
    <w:p w14:paraId="4504AB9E" w14:textId="77777777" w:rsidR="00646B73" w:rsidRPr="00385AB9" w:rsidRDefault="00E87BCD">
      <w:pPr>
        <w:spacing w:before="240" w:after="120"/>
        <w:rPr>
          <w:b/>
          <w:i/>
          <w:sz w:val="18"/>
        </w:rPr>
      </w:pPr>
      <w:r w:rsidRPr="00385AB9">
        <w:rPr>
          <w:b/>
          <w:i/>
          <w:sz w:val="18"/>
        </w:rPr>
        <w:t>COURSE CONTENT</w:t>
      </w:r>
    </w:p>
    <w:p w14:paraId="5F389F31" w14:textId="77777777" w:rsidR="00646B73" w:rsidRPr="00385AB9" w:rsidRDefault="00E87BCD">
      <w:pPr>
        <w:spacing w:before="120"/>
      </w:pPr>
      <w:r w:rsidRPr="00385AB9">
        <w:t>The course is divided into three teaching modules</w:t>
      </w:r>
    </w:p>
    <w:p w14:paraId="1A400FFE" w14:textId="77777777" w:rsidR="00646B73" w:rsidRPr="00385AB9" w:rsidRDefault="00E87BCD">
      <w:pPr>
        <w:spacing w:before="120"/>
        <w:rPr>
          <w:i/>
        </w:rPr>
      </w:pPr>
      <w:r w:rsidRPr="00385AB9">
        <w:rPr>
          <w:i/>
        </w:rPr>
        <w:t>1. Designing a Social Marketing Campaign Module</w:t>
      </w:r>
    </w:p>
    <w:p w14:paraId="26B23A0C" w14:textId="77777777" w:rsidR="00646B73" w:rsidRPr="00385AB9" w:rsidRDefault="00E87BCD">
      <w:pPr>
        <w:ind w:left="284" w:hanging="284"/>
      </w:pPr>
      <w:r w:rsidRPr="00385AB9">
        <w:lastRenderedPageBreak/>
        <w:t>1.1 Introduction to social marketing: topics, problems, purposes</w:t>
      </w:r>
    </w:p>
    <w:p w14:paraId="1E69AFBC" w14:textId="4B117AA1" w:rsidR="00646B73" w:rsidRPr="00385AB9" w:rsidRDefault="00E87BCD">
      <w:pPr>
        <w:ind w:left="284" w:hanging="284"/>
      </w:pPr>
      <w:r w:rsidRPr="00385AB9">
        <w:t>1.2 Social marketing and commercial marketing: differences and areas of continuity</w:t>
      </w:r>
    </w:p>
    <w:p w14:paraId="57877CD0" w14:textId="511333D6" w:rsidR="00646B73" w:rsidRPr="00385AB9" w:rsidRDefault="00E87BCD">
      <w:pPr>
        <w:ind w:left="284" w:hanging="284"/>
      </w:pPr>
      <w:r w:rsidRPr="00385AB9">
        <w:t>1.3 Psychology and social marketing: synergies and approaches</w:t>
      </w:r>
    </w:p>
    <w:p w14:paraId="03CC1647" w14:textId="77777777" w:rsidR="00646B73" w:rsidRPr="00385AB9" w:rsidRDefault="00E87BCD">
      <w:pPr>
        <w:ind w:left="284" w:hanging="284"/>
      </w:pPr>
      <w:r w:rsidRPr="00385AB9">
        <w:t>1.4</w:t>
      </w:r>
      <w:r w:rsidRPr="00385AB9">
        <w:tab/>
        <w:t xml:space="preserve">Designing a social marketing campaign: phases, moments and tools </w:t>
      </w:r>
    </w:p>
    <w:p w14:paraId="477F45AF" w14:textId="77777777" w:rsidR="00646B73" w:rsidRPr="00385AB9" w:rsidRDefault="00E87BCD">
      <w:pPr>
        <w:spacing w:before="120"/>
        <w:rPr>
          <w:i/>
        </w:rPr>
      </w:pPr>
      <w:r w:rsidRPr="00385AB9">
        <w:rPr>
          <w:i/>
        </w:rPr>
        <w:t xml:space="preserve">2. Models of Behavioural Change, Consumer Health and Health Communication Module </w:t>
      </w:r>
    </w:p>
    <w:p w14:paraId="78A124A3" w14:textId="77777777" w:rsidR="00646B73" w:rsidRPr="00385AB9" w:rsidRDefault="00E87BCD">
      <w:pPr>
        <w:spacing w:line="240" w:lineRule="auto"/>
        <w:ind w:left="284" w:hanging="284"/>
      </w:pPr>
      <w:r w:rsidRPr="00385AB9">
        <w:t>2.1 The behavioural models of behavioural change: historical excursus and articulation of the main differences and areas of application</w:t>
      </w:r>
    </w:p>
    <w:p w14:paraId="590767CA" w14:textId="77777777" w:rsidR="00646B73" w:rsidRPr="00385AB9" w:rsidRDefault="00E87BCD">
      <w:pPr>
        <w:spacing w:line="240" w:lineRule="auto"/>
        <w:ind w:left="284" w:hanging="284"/>
      </w:pPr>
      <w:r w:rsidRPr="00385AB9">
        <w:t>2.2 The socio-cognitive models of behavioural change and their application to social marketing campaigns</w:t>
      </w:r>
    </w:p>
    <w:p w14:paraId="0C25A3DA" w14:textId="511ECC26" w:rsidR="00646B73" w:rsidRPr="00385AB9" w:rsidRDefault="00E87BCD">
      <w:pPr>
        <w:spacing w:line="240" w:lineRule="auto"/>
        <w:ind w:left="284" w:hanging="284"/>
      </w:pPr>
      <w:r w:rsidRPr="00385AB9">
        <w:t xml:space="preserve">2.3 The </w:t>
      </w:r>
      <w:r w:rsidRPr="00385AB9">
        <w:rPr>
          <w:i/>
        </w:rPr>
        <w:t>Health Belief Model</w:t>
      </w:r>
      <w:r w:rsidRPr="00385AB9">
        <w:t>: theoretical characteristics of the model and its application to social marketing campaigns</w:t>
      </w:r>
    </w:p>
    <w:p w14:paraId="1B0B9227" w14:textId="77777777" w:rsidR="00646B73" w:rsidRPr="00385AB9" w:rsidRDefault="00E87BCD">
      <w:pPr>
        <w:spacing w:line="240" w:lineRule="auto"/>
        <w:ind w:left="284" w:hanging="284"/>
      </w:pPr>
      <w:r w:rsidRPr="00385AB9">
        <w:t>2.4 The Reasoned Action model: theoretical characteristics of the model and its application to social marketing campaigns</w:t>
      </w:r>
    </w:p>
    <w:p w14:paraId="25F29F3D" w14:textId="77777777" w:rsidR="00646B73" w:rsidRPr="00385AB9" w:rsidRDefault="00E87BCD">
      <w:pPr>
        <w:spacing w:line="240" w:lineRule="auto"/>
        <w:ind w:left="284" w:hanging="284"/>
      </w:pPr>
      <w:r w:rsidRPr="00385AB9">
        <w:t xml:space="preserve">2.5 </w:t>
      </w:r>
      <w:r w:rsidRPr="00385AB9">
        <w:rPr>
          <w:i/>
        </w:rPr>
        <w:t>Fear Arousal Theory</w:t>
      </w:r>
      <w:r w:rsidRPr="00385AB9">
        <w:t xml:space="preserve">: main theoretical models and areas of application in the field of social marketing </w:t>
      </w:r>
    </w:p>
    <w:p w14:paraId="67D39C0F" w14:textId="77777777" w:rsidR="00646B73" w:rsidRPr="00385AB9" w:rsidRDefault="00E87BCD">
      <w:pPr>
        <w:spacing w:line="240" w:lineRule="auto"/>
        <w:ind w:left="284" w:hanging="284"/>
      </w:pPr>
      <w:r w:rsidRPr="00385AB9">
        <w:t xml:space="preserve">2.6 The </w:t>
      </w:r>
      <w:r w:rsidRPr="00385AB9">
        <w:rPr>
          <w:i/>
        </w:rPr>
        <w:t>Transtheoretical Model of Change</w:t>
      </w:r>
      <w:r w:rsidRPr="00385AB9">
        <w:t xml:space="preserve"> and its application to social marketing</w:t>
      </w:r>
    </w:p>
    <w:p w14:paraId="3C16CE6E" w14:textId="77777777" w:rsidR="00646B73" w:rsidRPr="00385AB9" w:rsidRDefault="00E87BCD">
      <w:pPr>
        <w:spacing w:line="240" w:lineRule="auto"/>
        <w:ind w:left="284" w:hanging="284"/>
      </w:pPr>
      <w:r w:rsidRPr="00385AB9">
        <w:t xml:space="preserve">2.7 </w:t>
      </w:r>
      <w:r w:rsidRPr="00385AB9">
        <w:rPr>
          <w:i/>
        </w:rPr>
        <w:t>Narrative Approaches</w:t>
      </w:r>
      <w:r w:rsidRPr="00385AB9">
        <w:t xml:space="preserve"> to social communication and consumer education: theoretical characteristics and applications to social marketing </w:t>
      </w:r>
    </w:p>
    <w:p w14:paraId="7254AD03" w14:textId="01B4303A" w:rsidR="008373FF" w:rsidRPr="00385AB9" w:rsidRDefault="008373FF" w:rsidP="008373FF">
      <w:pPr>
        <w:spacing w:before="120"/>
        <w:ind w:left="284" w:hanging="284"/>
        <w:rPr>
          <w:i/>
          <w:lang w:val="en-US"/>
        </w:rPr>
      </w:pPr>
      <w:r w:rsidRPr="00385AB9">
        <w:rPr>
          <w:i/>
          <w:lang w:val="en-US"/>
        </w:rPr>
        <w:t xml:space="preserve">3. </w:t>
      </w:r>
      <w:r w:rsidR="0006057B" w:rsidRPr="00385AB9">
        <w:rPr>
          <w:i/>
        </w:rPr>
        <w:t>Patient Engagement Module</w:t>
      </w:r>
    </w:p>
    <w:p w14:paraId="3844AA2F" w14:textId="77777777" w:rsidR="0006057B" w:rsidRPr="00385AB9" w:rsidRDefault="0006057B" w:rsidP="0006057B">
      <w:pPr>
        <w:spacing w:line="220" w:lineRule="exact"/>
      </w:pPr>
      <w:r w:rsidRPr="00385AB9">
        <w:t>3.1 Patient participation and engagement: contexts and principles</w:t>
      </w:r>
    </w:p>
    <w:p w14:paraId="3D41B00E" w14:textId="77777777" w:rsidR="0006057B" w:rsidRPr="00385AB9" w:rsidRDefault="0006057B" w:rsidP="0006057B">
      <w:pPr>
        <w:spacing w:line="220" w:lineRule="exact"/>
      </w:pPr>
      <w:r w:rsidRPr="00385AB9">
        <w:t>3.2 The patient health engagement model</w:t>
      </w:r>
    </w:p>
    <w:p w14:paraId="1C0BE0E8" w14:textId="258AB210" w:rsidR="0006057B" w:rsidRPr="00385AB9" w:rsidRDefault="0006057B" w:rsidP="0006057B">
      <w:pPr>
        <w:spacing w:line="220" w:lineRule="exact"/>
      </w:pPr>
      <w:r w:rsidRPr="00385AB9">
        <w:t>3.3 Applications of the patient engagement model in health promotion and chronic disease management</w:t>
      </w:r>
    </w:p>
    <w:p w14:paraId="29B0DF30" w14:textId="77777777" w:rsidR="00646B73" w:rsidRPr="00385AB9" w:rsidRDefault="00E87BCD" w:rsidP="008373FF">
      <w:pPr>
        <w:spacing w:before="240" w:after="120" w:line="220" w:lineRule="exact"/>
        <w:rPr>
          <w:b/>
          <w:i/>
          <w:sz w:val="18"/>
          <w:lang w:val="it-IT"/>
        </w:rPr>
      </w:pPr>
      <w:r w:rsidRPr="00385AB9">
        <w:rPr>
          <w:b/>
          <w:i/>
          <w:sz w:val="18"/>
          <w:lang w:val="it-IT"/>
        </w:rPr>
        <w:t>READING LIST</w:t>
      </w:r>
    </w:p>
    <w:p w14:paraId="7944F4B2" w14:textId="0B341195" w:rsidR="008373FF" w:rsidRPr="00385AB9" w:rsidRDefault="008373FF" w:rsidP="008373FF">
      <w:pPr>
        <w:pStyle w:val="Testo1"/>
        <w:spacing w:before="0" w:line="240" w:lineRule="atLeast"/>
        <w:rPr>
          <w:rFonts w:cs="Arial"/>
          <w:smallCaps/>
          <w:spacing w:val="-5"/>
          <w:sz w:val="16"/>
          <w:lang w:val="it-IT"/>
        </w:rPr>
      </w:pPr>
      <w:r w:rsidRPr="00385AB9">
        <w:rPr>
          <w:rFonts w:cs="Arial"/>
          <w:smallCaps/>
          <w:spacing w:val="-5"/>
          <w:sz w:val="16"/>
          <w:lang w:val="it-IT"/>
        </w:rPr>
        <w:t xml:space="preserve">G. Graffigna, </w:t>
      </w:r>
      <w:r w:rsidRPr="00385AB9">
        <w:rPr>
          <w:rFonts w:cs="Arial"/>
          <w:i/>
          <w:spacing w:val="-5"/>
          <w:lang w:val="it-IT"/>
        </w:rPr>
        <w:t>Guidelines del corso</w:t>
      </w:r>
    </w:p>
    <w:p w14:paraId="656C54B0" w14:textId="139591D0" w:rsidR="008373FF" w:rsidRPr="00385AB9" w:rsidRDefault="008373FF" w:rsidP="008373FF">
      <w:pPr>
        <w:pStyle w:val="Testo1"/>
        <w:spacing w:before="0" w:line="240" w:lineRule="atLeast"/>
        <w:rPr>
          <w:rFonts w:cs="Arial"/>
          <w:spacing w:val="-5"/>
          <w:lang w:val="it-IT"/>
        </w:rPr>
      </w:pPr>
      <w:r w:rsidRPr="00385AB9">
        <w:rPr>
          <w:rFonts w:cs="Arial"/>
          <w:smallCaps/>
          <w:spacing w:val="-5"/>
          <w:sz w:val="16"/>
          <w:lang w:val="it-IT"/>
        </w:rPr>
        <w:t>G. Graffigna-S. Barello,</w:t>
      </w:r>
      <w:r w:rsidRPr="00385AB9">
        <w:rPr>
          <w:rFonts w:cs="Arial"/>
          <w:i/>
          <w:spacing w:val="-5"/>
          <w:lang w:val="it-IT"/>
        </w:rPr>
        <w:t xml:space="preserve"> Engagement: un nuovo modello di partecipazione in sanità</w:t>
      </w:r>
      <w:r w:rsidRPr="00385AB9">
        <w:rPr>
          <w:rFonts w:cs="Arial"/>
          <w:spacing w:val="-5"/>
          <w:lang w:val="it-IT"/>
        </w:rPr>
        <w:t>. 2018. Pensiero Scientifico Editore</w:t>
      </w:r>
    </w:p>
    <w:p w14:paraId="1342C959" w14:textId="37596C37" w:rsidR="008373FF" w:rsidRPr="00385AB9" w:rsidRDefault="008373FF" w:rsidP="008373FF">
      <w:pPr>
        <w:pStyle w:val="Testo1"/>
        <w:spacing w:before="0" w:line="240" w:lineRule="atLeast"/>
        <w:rPr>
          <w:rFonts w:cs="Arial"/>
          <w:spacing w:val="-5"/>
          <w:lang w:val="it-IT"/>
        </w:rPr>
      </w:pPr>
      <w:r w:rsidRPr="00385AB9">
        <w:rPr>
          <w:rFonts w:cs="Arial"/>
          <w:smallCaps/>
          <w:spacing w:val="-5"/>
          <w:sz w:val="16"/>
          <w:lang w:val="it-IT"/>
        </w:rPr>
        <w:t xml:space="preserve">G. Graffigna, </w:t>
      </w:r>
      <w:r w:rsidRPr="00385AB9">
        <w:rPr>
          <w:rFonts w:cs="Arial"/>
          <w:i/>
          <w:spacing w:val="-5"/>
          <w:lang w:val="it-IT"/>
        </w:rPr>
        <w:t>Esitanti: quello che la pandemia ci ha insegnato sulla psicologia della prevenzione</w:t>
      </w:r>
      <w:r w:rsidRPr="00385AB9">
        <w:rPr>
          <w:rFonts w:cs="Arial"/>
          <w:spacing w:val="-5"/>
          <w:lang w:val="it-IT"/>
        </w:rPr>
        <w:t>. 2021</w:t>
      </w:r>
    </w:p>
    <w:p w14:paraId="04330E10" w14:textId="307FD5FE" w:rsidR="008373FF" w:rsidRPr="00385AB9" w:rsidRDefault="008373FF" w:rsidP="008373FF">
      <w:pPr>
        <w:pStyle w:val="Testo1"/>
        <w:spacing w:before="0" w:line="240" w:lineRule="atLeast"/>
        <w:rPr>
          <w:rFonts w:cs="Arial"/>
          <w:smallCaps/>
          <w:spacing w:val="-5"/>
          <w:sz w:val="16"/>
          <w:lang w:val="en-US"/>
        </w:rPr>
      </w:pPr>
      <w:r w:rsidRPr="00385AB9">
        <w:rPr>
          <w:rFonts w:cs="Arial"/>
          <w:smallCaps/>
          <w:spacing w:val="-5"/>
          <w:sz w:val="16"/>
          <w:lang w:val="it-IT"/>
        </w:rPr>
        <w:t xml:space="preserve">G. Fattori, </w:t>
      </w:r>
      <w:r w:rsidRPr="00385AB9">
        <w:rPr>
          <w:rFonts w:cs="Arial"/>
          <w:i/>
          <w:spacing w:val="-5"/>
          <w:lang w:val="it-IT"/>
        </w:rPr>
        <w:t xml:space="preserve">Manuale di marketing sociale per la salute e per l'ambiente. </w:t>
      </w:r>
      <w:r w:rsidRPr="00385AB9">
        <w:rPr>
          <w:rFonts w:cs="Arial"/>
          <w:i/>
          <w:spacing w:val="-5"/>
          <w:lang w:val="en-US"/>
        </w:rPr>
        <w:t>Non solo saponette</w:t>
      </w:r>
      <w:r w:rsidRPr="00385AB9">
        <w:rPr>
          <w:rFonts w:cs="Arial"/>
          <w:spacing w:val="-5"/>
          <w:lang w:val="en-US"/>
        </w:rPr>
        <w:t>. Cultura e Salute Editore Perugia, 2020</w:t>
      </w:r>
    </w:p>
    <w:p w14:paraId="089A668F" w14:textId="77777777" w:rsidR="00646B73" w:rsidRPr="00385AB9" w:rsidRDefault="00E87BCD">
      <w:pPr>
        <w:spacing w:before="240" w:after="120" w:line="220" w:lineRule="exact"/>
        <w:rPr>
          <w:b/>
          <w:i/>
          <w:sz w:val="18"/>
          <w:lang w:val="en-US"/>
        </w:rPr>
      </w:pPr>
      <w:r w:rsidRPr="00385AB9">
        <w:rPr>
          <w:b/>
          <w:i/>
          <w:sz w:val="18"/>
          <w:lang w:val="en-US"/>
        </w:rPr>
        <w:t>TEACHING METHOD</w:t>
      </w:r>
    </w:p>
    <w:p w14:paraId="265D211E" w14:textId="77777777" w:rsidR="00646B73" w:rsidRPr="00385AB9" w:rsidRDefault="00E87BCD">
      <w:pPr>
        <w:pStyle w:val="Testo2"/>
        <w:rPr>
          <w:noProof w:val="0"/>
        </w:rPr>
      </w:pPr>
      <w:r w:rsidRPr="00385AB9">
        <w:rPr>
          <w:noProof w:val="0"/>
        </w:rPr>
        <w:t>Lectures, presentation-discussion of case studies, interventions by external experts.</w:t>
      </w:r>
    </w:p>
    <w:p w14:paraId="5DCC32F8" w14:textId="77777777" w:rsidR="00646B73" w:rsidRPr="00385AB9" w:rsidRDefault="00E87BCD">
      <w:pPr>
        <w:pStyle w:val="Testo2"/>
        <w:rPr>
          <w:noProof w:val="0"/>
        </w:rPr>
      </w:pPr>
      <w:r w:rsidRPr="00385AB9">
        <w:rPr>
          <w:noProof w:val="0"/>
        </w:rPr>
        <w:t>The course will also include the execution of a concrete social marketing project for a real client carried out in working groups.</w:t>
      </w:r>
    </w:p>
    <w:p w14:paraId="1FF37A01" w14:textId="77777777" w:rsidR="00646B73" w:rsidRPr="00385AB9" w:rsidRDefault="00E87BCD" w:rsidP="008373FF">
      <w:pPr>
        <w:spacing w:before="240" w:after="120" w:line="220" w:lineRule="exact"/>
        <w:rPr>
          <w:b/>
          <w:i/>
          <w:sz w:val="18"/>
          <w:lang w:val="en-US"/>
        </w:rPr>
      </w:pPr>
      <w:r w:rsidRPr="00385AB9">
        <w:rPr>
          <w:b/>
          <w:i/>
          <w:sz w:val="18"/>
          <w:lang w:val="en-US"/>
        </w:rPr>
        <w:t>ASSESSMENT METHOD AND CRITERIA</w:t>
      </w:r>
    </w:p>
    <w:p w14:paraId="3541DDA8" w14:textId="77777777" w:rsidR="00646B73" w:rsidRPr="00385AB9" w:rsidRDefault="00E87BCD">
      <w:pPr>
        <w:pStyle w:val="Testo2"/>
        <w:rPr>
          <w:noProof w:val="0"/>
        </w:rPr>
      </w:pPr>
      <w:r w:rsidRPr="00385AB9">
        <w:rPr>
          <w:noProof w:val="0"/>
        </w:rPr>
        <w:lastRenderedPageBreak/>
        <w:t>The assessment method will be divided into two phases:</w:t>
      </w:r>
    </w:p>
    <w:p w14:paraId="3AE14648" w14:textId="77777777" w:rsidR="00646B73" w:rsidRPr="00385AB9" w:rsidRDefault="00E87BCD">
      <w:pPr>
        <w:pStyle w:val="Testo2"/>
        <w:numPr>
          <w:ilvl w:val="0"/>
          <w:numId w:val="1"/>
        </w:numPr>
        <w:rPr>
          <w:noProof w:val="0"/>
        </w:rPr>
      </w:pPr>
      <w:r w:rsidRPr="00385AB9">
        <w:rPr>
          <w:noProof w:val="0"/>
        </w:rPr>
        <w:t xml:space="preserve">GROUP PAPER: </w:t>
      </w:r>
    </w:p>
    <w:p w14:paraId="6F52003C" w14:textId="77777777" w:rsidR="00646B73" w:rsidRPr="00385AB9" w:rsidRDefault="00E87BCD">
      <w:pPr>
        <w:pStyle w:val="Testo2"/>
        <w:numPr>
          <w:ilvl w:val="1"/>
          <w:numId w:val="1"/>
        </w:numPr>
        <w:rPr>
          <w:noProof w:val="0"/>
        </w:rPr>
      </w:pPr>
      <w:r w:rsidRPr="00385AB9">
        <w:rPr>
          <w:noProof w:val="0"/>
        </w:rPr>
        <w:t xml:space="preserve">Initially, the social marketing project carried out in small working groups following a briefing from a real company will be assessed. </w:t>
      </w:r>
    </w:p>
    <w:p w14:paraId="37DFF3F6" w14:textId="77777777" w:rsidR="00646B73" w:rsidRPr="00385AB9" w:rsidRDefault="00E87BCD">
      <w:pPr>
        <w:pStyle w:val="Testo2"/>
        <w:numPr>
          <w:ilvl w:val="1"/>
          <w:numId w:val="1"/>
        </w:numPr>
        <w:rPr>
          <w:noProof w:val="0"/>
        </w:rPr>
      </w:pPr>
      <w:r w:rsidRPr="00385AB9">
        <w:rPr>
          <w:noProof w:val="0"/>
        </w:rPr>
        <w:t xml:space="preserve">The project will be partly carried out in the classroom under the lecturers' supervision and partly remotely. </w:t>
      </w:r>
    </w:p>
    <w:p w14:paraId="259EE914" w14:textId="77777777" w:rsidR="00646B73" w:rsidRPr="00385AB9" w:rsidRDefault="00E87BCD">
      <w:pPr>
        <w:pStyle w:val="Testo2"/>
        <w:numPr>
          <w:ilvl w:val="1"/>
          <w:numId w:val="1"/>
        </w:numPr>
        <w:rPr>
          <w:noProof w:val="0"/>
        </w:rPr>
      </w:pPr>
      <w:r w:rsidRPr="00385AB9">
        <w:rPr>
          <w:noProof w:val="0"/>
        </w:rPr>
        <w:t xml:space="preserve">The project will be presented and discussed in the classroom at the end of the course, in the presence of the lecturers and the client company. </w:t>
      </w:r>
    </w:p>
    <w:p w14:paraId="5C606D65" w14:textId="5241D821" w:rsidR="00646B73" w:rsidRPr="00385AB9" w:rsidRDefault="00E87BCD">
      <w:pPr>
        <w:pStyle w:val="Testo2"/>
        <w:numPr>
          <w:ilvl w:val="1"/>
          <w:numId w:val="1"/>
        </w:numPr>
        <w:rPr>
          <w:noProof w:val="0"/>
        </w:rPr>
      </w:pPr>
      <w:r w:rsidRPr="00385AB9">
        <w:rPr>
          <w:noProof w:val="0"/>
        </w:rPr>
        <w:t>The project will then be assessed by the lecturers on the basis of the following criteria: 1) ACCURACY: completeness of the document, presentation clarity, consistency with the client's briefing, consistency with the theoretical-disciplinary contents of the course; 2) CREATIVITY: originality of the work, disruptive insight, ability of the idea to solve the problem and stand out in the competitive scenario; 3) FEASIBILITY: feasibility of the idea given the type of client and the pragmatic constraints of the current framework.</w:t>
      </w:r>
    </w:p>
    <w:p w14:paraId="7A51A051" w14:textId="77777777" w:rsidR="00646B73" w:rsidRPr="00385AB9" w:rsidRDefault="00E87BCD">
      <w:pPr>
        <w:pStyle w:val="Testo2"/>
        <w:numPr>
          <w:ilvl w:val="1"/>
          <w:numId w:val="1"/>
        </w:numPr>
        <w:rPr>
          <w:noProof w:val="0"/>
        </w:rPr>
      </w:pPr>
      <w:r w:rsidRPr="00385AB9">
        <w:rPr>
          <w:noProof w:val="0"/>
        </w:rPr>
        <w:t>An indicative (group) qualitative assessment will be attributed to the work, which will then be refined and specified in the subsequent individual phase of the examination as described below.</w:t>
      </w:r>
    </w:p>
    <w:p w14:paraId="5B5BED0F" w14:textId="07CFD713" w:rsidR="00646B73" w:rsidRPr="00385AB9" w:rsidRDefault="00E87BCD">
      <w:pPr>
        <w:pStyle w:val="Testo2"/>
        <w:numPr>
          <w:ilvl w:val="0"/>
          <w:numId w:val="1"/>
        </w:numPr>
        <w:rPr>
          <w:noProof w:val="0"/>
        </w:rPr>
      </w:pPr>
      <w:r w:rsidRPr="00385AB9">
        <w:rPr>
          <w:noProof w:val="0"/>
        </w:rPr>
        <w:t xml:space="preserve">INDIVIDUAL ORAL EXAM: the social marketing project carried out during the course will be discussed during the oral exam, together with the course guidelines and reading list. </w:t>
      </w:r>
    </w:p>
    <w:p w14:paraId="70A24432" w14:textId="18BAFDD9" w:rsidR="00646B73" w:rsidRPr="00385AB9" w:rsidRDefault="00646B73">
      <w:pPr>
        <w:pStyle w:val="Testo2"/>
        <w:rPr>
          <w:rFonts w:ascii="Times New Roman" w:hAnsi="Times New Roman"/>
          <w:b/>
          <w:i/>
          <w:noProof w:val="0"/>
        </w:rPr>
      </w:pPr>
    </w:p>
    <w:p w14:paraId="56C534A6" w14:textId="2161919C" w:rsidR="00646B73" w:rsidRPr="00385AB9" w:rsidRDefault="00E87BCD">
      <w:pPr>
        <w:pStyle w:val="Testocommento"/>
        <w:ind w:firstLine="284"/>
        <w:rPr>
          <w:sz w:val="18"/>
        </w:rPr>
      </w:pPr>
      <w:r w:rsidRPr="00385AB9">
        <w:rPr>
          <w:sz w:val="18"/>
        </w:rPr>
        <w:t xml:space="preserve">With regard to the final assessment, the indicative mark given to the group project will carry 50% weight in the overall assessment. The oral interview will carry the remaining 50% weight, and an overall assessment will be made taking into account both marks and recognising the student's critical and presentation </w:t>
      </w:r>
      <w:r w:rsidR="00093C97" w:rsidRPr="00385AB9">
        <w:rPr>
          <w:sz w:val="18"/>
        </w:rPr>
        <w:t>competence</w:t>
      </w:r>
      <w:r w:rsidRPr="00385AB9">
        <w:rPr>
          <w:sz w:val="18"/>
        </w:rPr>
        <w:t>.</w:t>
      </w:r>
    </w:p>
    <w:p w14:paraId="4527A0B5" w14:textId="79ABCFD3" w:rsidR="00646B73" w:rsidRPr="00385AB9" w:rsidRDefault="00E87BCD">
      <w:pPr>
        <w:pStyle w:val="Testo2"/>
        <w:rPr>
          <w:rFonts w:ascii="Times New Roman" w:hAnsi="Times New Roman"/>
          <w:noProof w:val="0"/>
        </w:rPr>
      </w:pPr>
      <w:r w:rsidRPr="00385AB9">
        <w:rPr>
          <w:noProof w:val="0"/>
          <w:sz w:val="16"/>
        </w:rPr>
        <w:t xml:space="preserve"> </w:t>
      </w:r>
      <w:r w:rsidRPr="00385AB9">
        <w:rPr>
          <w:rFonts w:ascii="Times New Roman" w:hAnsi="Times New Roman"/>
          <w:noProof w:val="0"/>
        </w:rPr>
        <w:t xml:space="preserve">The final mark, expressed out of thirty, will assess the above knowledge and skills according to the following ranges: - incomplete or insufficient knowledge and skills: </w:t>
      </w:r>
      <w:r w:rsidR="00093C97" w:rsidRPr="00385AB9">
        <w:rPr>
          <w:rFonts w:ascii="Times New Roman" w:hAnsi="Times New Roman"/>
          <w:noProof w:val="0"/>
        </w:rPr>
        <w:t>below</w:t>
      </w:r>
      <w:r w:rsidRPr="00385AB9">
        <w:rPr>
          <w:rFonts w:ascii="Times New Roman" w:hAnsi="Times New Roman"/>
          <w:noProof w:val="0"/>
        </w:rPr>
        <w:t xml:space="preserve"> 18; - adequate but not very thorough knowledge and skills, with limited applications to  planning in practice: 18-22; - good knowledge and skills, adequately articulated and sufficiently applied to planning in practice: 23-26; - excellent knowledge and skills, </w:t>
      </w:r>
      <w:r w:rsidR="00FD2181" w:rsidRPr="00385AB9">
        <w:rPr>
          <w:rFonts w:ascii="Times New Roman" w:hAnsi="Times New Roman"/>
          <w:noProof w:val="0"/>
        </w:rPr>
        <w:t>well-articulated</w:t>
      </w:r>
      <w:r w:rsidRPr="00385AB9">
        <w:rPr>
          <w:rFonts w:ascii="Times New Roman" w:hAnsi="Times New Roman"/>
          <w:noProof w:val="0"/>
        </w:rPr>
        <w:t xml:space="preserve"> and solidly applied to planning in practice: 27-30.</w:t>
      </w:r>
      <w:r w:rsidRPr="00385AB9">
        <w:rPr>
          <w:noProof w:val="0"/>
        </w:rPr>
        <w:t xml:space="preserve"> </w:t>
      </w:r>
    </w:p>
    <w:p w14:paraId="1C1F13A6" w14:textId="77777777" w:rsidR="00646B73" w:rsidRPr="00385AB9" w:rsidRDefault="00E87BCD" w:rsidP="008373FF">
      <w:pPr>
        <w:spacing w:before="240" w:after="120" w:line="220" w:lineRule="exact"/>
        <w:rPr>
          <w:b/>
          <w:i/>
          <w:sz w:val="18"/>
          <w:lang w:val="en-US"/>
        </w:rPr>
      </w:pPr>
      <w:r w:rsidRPr="00385AB9">
        <w:rPr>
          <w:b/>
          <w:i/>
          <w:sz w:val="18"/>
          <w:lang w:val="en-US"/>
        </w:rPr>
        <w:t xml:space="preserve">NOTES AND PREREQUISITES </w:t>
      </w:r>
    </w:p>
    <w:p w14:paraId="3FE1C761" w14:textId="77777777" w:rsidR="00646B73" w:rsidRPr="00385AB9" w:rsidRDefault="00E87BCD">
      <w:pPr>
        <w:pStyle w:val="Testo2"/>
        <w:rPr>
          <w:rFonts w:ascii="Times New Roman" w:hAnsi="Times New Roman"/>
          <w:noProof w:val="0"/>
        </w:rPr>
      </w:pPr>
      <w:r w:rsidRPr="00385AB9">
        <w:rPr>
          <w:rFonts w:ascii="Times New Roman" w:hAnsi="Times New Roman"/>
          <w:noProof w:val="0"/>
        </w:rPr>
        <w:t>A basic knowledge of marketing management and consumer psychology are preferential prerequisites for the course.</w:t>
      </w:r>
    </w:p>
    <w:p w14:paraId="53AA9E31" w14:textId="4371E906" w:rsidR="00646B73" w:rsidRPr="00385AB9" w:rsidRDefault="00E87BCD" w:rsidP="00093C97">
      <w:pPr>
        <w:tabs>
          <w:tab w:val="clear" w:pos="284"/>
        </w:tabs>
        <w:spacing w:line="259" w:lineRule="auto"/>
        <w:ind w:firstLine="284"/>
        <w:rPr>
          <w:rFonts w:eastAsia="Calibri"/>
          <w:sz w:val="18"/>
        </w:rPr>
      </w:pPr>
      <w:r w:rsidRPr="00385AB9">
        <w:rPr>
          <w:rFonts w:eastAsia="Calibri"/>
          <w:sz w:val="18"/>
        </w:rPr>
        <w:t>Should the current Covid-19 health emergency not allow face-to-face teaching, remote teaching will be carried out following procedures that will be communicated in good time to students.</w:t>
      </w:r>
    </w:p>
    <w:p w14:paraId="78260752" w14:textId="41681888" w:rsidR="00646B73" w:rsidRPr="00FD2181" w:rsidRDefault="00E87BCD" w:rsidP="008373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184"/>
        </w:tabs>
        <w:spacing w:line="220" w:lineRule="exact"/>
        <w:ind w:firstLine="284"/>
      </w:pPr>
      <w:r w:rsidRPr="00385AB9">
        <w:rPr>
          <w:rFonts w:ascii="Times" w:eastAsia="Arial Unicode MS" w:hAnsi="Times" w:cs="Arial Unicode MS"/>
          <w:color w:val="000000"/>
          <w:sz w:val="18"/>
          <w:u w:color="000000"/>
          <w:bdr w:val="nil"/>
        </w:rPr>
        <w:t>Further information can be found on the lecturer's webpage at http://docenti.unicatt.it/web/searchByName.do?language=ENG or on the Faculty notice board.</w:t>
      </w:r>
    </w:p>
    <w:sectPr w:rsidR="00646B73" w:rsidRPr="00FD2181">
      <w:headerReference w:type="default" r:id="rId7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3E44C" w14:textId="77777777" w:rsidR="0082678F" w:rsidRDefault="0082678F">
      <w:pPr>
        <w:spacing w:line="240" w:lineRule="auto"/>
      </w:pPr>
      <w:r>
        <w:separator/>
      </w:r>
    </w:p>
  </w:endnote>
  <w:endnote w:type="continuationSeparator" w:id="0">
    <w:p w14:paraId="30743C94" w14:textId="77777777" w:rsidR="0082678F" w:rsidRDefault="00826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EBD41" w14:textId="77777777" w:rsidR="0082678F" w:rsidRDefault="0082678F">
      <w:pPr>
        <w:spacing w:line="240" w:lineRule="auto"/>
      </w:pPr>
      <w:r>
        <w:separator/>
      </w:r>
    </w:p>
  </w:footnote>
  <w:footnote w:type="continuationSeparator" w:id="0">
    <w:p w14:paraId="7B8B2E52" w14:textId="77777777" w:rsidR="0082678F" w:rsidRDefault="00826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BF2D" w14:textId="77777777" w:rsidR="00646B73" w:rsidRDefault="00646B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2ECA"/>
    <w:multiLevelType w:val="hybridMultilevel"/>
    <w:tmpl w:val="73AADF1A"/>
    <w:lvl w:ilvl="0" w:tplc="FEB4D094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573420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204A0"/>
    <w:rsid w:val="0006057B"/>
    <w:rsid w:val="00093C97"/>
    <w:rsid w:val="000A1038"/>
    <w:rsid w:val="000A4A96"/>
    <w:rsid w:val="00101321"/>
    <w:rsid w:val="001406D3"/>
    <w:rsid w:val="00153CA8"/>
    <w:rsid w:val="00161352"/>
    <w:rsid w:val="0018750E"/>
    <w:rsid w:val="00187B99"/>
    <w:rsid w:val="001D3BD6"/>
    <w:rsid w:val="002014DD"/>
    <w:rsid w:val="00273952"/>
    <w:rsid w:val="00281683"/>
    <w:rsid w:val="002959D6"/>
    <w:rsid w:val="002E7858"/>
    <w:rsid w:val="00336F73"/>
    <w:rsid w:val="003639A9"/>
    <w:rsid w:val="00385AB9"/>
    <w:rsid w:val="003F6CF3"/>
    <w:rsid w:val="00422F87"/>
    <w:rsid w:val="0046075A"/>
    <w:rsid w:val="00491ED3"/>
    <w:rsid w:val="004A1F8A"/>
    <w:rsid w:val="004D1217"/>
    <w:rsid w:val="004D6008"/>
    <w:rsid w:val="005027BA"/>
    <w:rsid w:val="0057420A"/>
    <w:rsid w:val="005832C9"/>
    <w:rsid w:val="005C4CDD"/>
    <w:rsid w:val="00600185"/>
    <w:rsid w:val="006131AF"/>
    <w:rsid w:val="00617731"/>
    <w:rsid w:val="00631178"/>
    <w:rsid w:val="0063571A"/>
    <w:rsid w:val="00646B73"/>
    <w:rsid w:val="00695F82"/>
    <w:rsid w:val="006C170C"/>
    <w:rsid w:val="006C269E"/>
    <w:rsid w:val="006D6F5F"/>
    <w:rsid w:val="006F1772"/>
    <w:rsid w:val="007527E2"/>
    <w:rsid w:val="007B2BD5"/>
    <w:rsid w:val="008159F2"/>
    <w:rsid w:val="0082678F"/>
    <w:rsid w:val="00826EC6"/>
    <w:rsid w:val="008373FF"/>
    <w:rsid w:val="00883BE1"/>
    <w:rsid w:val="008A1204"/>
    <w:rsid w:val="008B0847"/>
    <w:rsid w:val="00900CCA"/>
    <w:rsid w:val="00924B77"/>
    <w:rsid w:val="0093557F"/>
    <w:rsid w:val="00940DA2"/>
    <w:rsid w:val="009B4E2D"/>
    <w:rsid w:val="009C422A"/>
    <w:rsid w:val="009E055C"/>
    <w:rsid w:val="00A32527"/>
    <w:rsid w:val="00A4478F"/>
    <w:rsid w:val="00A66FC3"/>
    <w:rsid w:val="00A6774C"/>
    <w:rsid w:val="00A74F6F"/>
    <w:rsid w:val="00AD7557"/>
    <w:rsid w:val="00AE61CD"/>
    <w:rsid w:val="00B3602C"/>
    <w:rsid w:val="00B51253"/>
    <w:rsid w:val="00B525CC"/>
    <w:rsid w:val="00B64B58"/>
    <w:rsid w:val="00B74809"/>
    <w:rsid w:val="00BB1031"/>
    <w:rsid w:val="00BB141B"/>
    <w:rsid w:val="00BC3A40"/>
    <w:rsid w:val="00BD3F1E"/>
    <w:rsid w:val="00BE1697"/>
    <w:rsid w:val="00BE44F0"/>
    <w:rsid w:val="00C039E2"/>
    <w:rsid w:val="00C06552"/>
    <w:rsid w:val="00C232D7"/>
    <w:rsid w:val="00C35171"/>
    <w:rsid w:val="00C35782"/>
    <w:rsid w:val="00C41502"/>
    <w:rsid w:val="00C6694A"/>
    <w:rsid w:val="00C73BC9"/>
    <w:rsid w:val="00C82389"/>
    <w:rsid w:val="00C8611B"/>
    <w:rsid w:val="00C90711"/>
    <w:rsid w:val="00CA2325"/>
    <w:rsid w:val="00D25F5E"/>
    <w:rsid w:val="00D404F2"/>
    <w:rsid w:val="00D92E6D"/>
    <w:rsid w:val="00DB2B93"/>
    <w:rsid w:val="00DD00C5"/>
    <w:rsid w:val="00DD36A8"/>
    <w:rsid w:val="00DF1E41"/>
    <w:rsid w:val="00E36E08"/>
    <w:rsid w:val="00E40EAA"/>
    <w:rsid w:val="00E607E6"/>
    <w:rsid w:val="00E87BCD"/>
    <w:rsid w:val="00FB57EA"/>
    <w:rsid w:val="00FD2181"/>
    <w:rsid w:val="00FD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36E1F"/>
  <w15:docId w15:val="{487FE636-594B-4A39-9678-656E6940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A4478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78F"/>
    <w:rPr>
      <w:szCs w:val="24"/>
    </w:rPr>
  </w:style>
  <w:style w:type="paragraph" w:styleId="Pidipagina">
    <w:name w:val="footer"/>
    <w:basedOn w:val="Normale"/>
    <w:link w:val="PidipaginaCarattere"/>
    <w:unhideWhenUsed/>
    <w:rsid w:val="00A4478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4478F"/>
    <w:rPr>
      <w:szCs w:val="24"/>
    </w:rPr>
  </w:style>
  <w:style w:type="character" w:styleId="Rimandocommento">
    <w:name w:val="annotation reference"/>
    <w:basedOn w:val="Carpredefinitoparagrafo"/>
    <w:semiHidden/>
    <w:unhideWhenUsed/>
    <w:rsid w:val="00BB103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BB103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B1031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B10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B1031"/>
    <w:rPr>
      <w:b/>
      <w:bCs/>
    </w:rPr>
  </w:style>
  <w:style w:type="paragraph" w:styleId="Revisione">
    <w:name w:val="Revision"/>
    <w:hidden/>
    <w:uiPriority w:val="99"/>
    <w:semiHidden/>
    <w:rsid w:val="00BB1031"/>
    <w:rPr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BB10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B103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2E7858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rsid w:val="006C170C"/>
    <w:rPr>
      <w:rFonts w:ascii="Times" w:hAnsi="Times"/>
      <w:i/>
      <w: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2003-03-27T09:42:00Z</cp:lastPrinted>
  <dcterms:created xsi:type="dcterms:W3CDTF">2022-07-04T12:52:00Z</dcterms:created>
  <dcterms:modified xsi:type="dcterms:W3CDTF">2022-07-04T12:52:00Z</dcterms:modified>
</cp:coreProperties>
</file>