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63" w:rsidRPr="00E8289E" w:rsidRDefault="00FB0478">
      <w:pPr>
        <w:pStyle w:val="Intestazione"/>
        <w:rPr>
          <w:shd w:val="clear" w:color="auto" w:fill="FEFFFF"/>
        </w:rPr>
      </w:pPr>
      <w:r w:rsidRPr="00E8289E">
        <w:rPr>
          <w:shd w:val="clear" w:color="auto" w:fill="FEFFFF"/>
        </w:rPr>
        <w:t>Business Management and Economics</w:t>
      </w:r>
    </w:p>
    <w:p w:rsidR="00E90D63" w:rsidRPr="00A12715" w:rsidRDefault="00FB0478">
      <w:pPr>
        <w:pStyle w:val="Intestazione2"/>
        <w:rPr>
          <w:shd w:val="clear" w:color="auto" w:fill="FEFFFF"/>
          <w:lang w:val="en-US"/>
        </w:rPr>
      </w:pPr>
      <w:proofErr w:type="spellStart"/>
      <w:r w:rsidRPr="00E8289E">
        <w:rPr>
          <w:shd w:val="clear" w:color="auto" w:fill="FEFFFF"/>
        </w:rPr>
        <w:t>Prof.</w:t>
      </w:r>
      <w:proofErr w:type="spellEnd"/>
      <w:r w:rsidRPr="00E8289E">
        <w:rPr>
          <w:shd w:val="clear" w:color="auto" w:fill="FEFFFF"/>
        </w:rPr>
        <w:t xml:space="preserve"> </w:t>
      </w:r>
      <w:r w:rsidRPr="00A12715">
        <w:rPr>
          <w:shd w:val="clear" w:color="auto" w:fill="FEFFFF"/>
          <w:lang w:val="en-US"/>
        </w:rPr>
        <w:t xml:space="preserve">Giacomo Scazzini </w:t>
      </w:r>
    </w:p>
    <w:p w:rsidR="007A7C47" w:rsidRPr="00E8289E" w:rsidRDefault="007A7C47" w:rsidP="007A7C47">
      <w:pPr>
        <w:spacing w:before="240" w:after="120" w:line="240" w:lineRule="exact"/>
        <w:rPr>
          <w:b/>
          <w:sz w:val="18"/>
        </w:rPr>
      </w:pPr>
      <w:r w:rsidRPr="00E8289E">
        <w:rPr>
          <w:b/>
          <w:i/>
          <w:sz w:val="18"/>
        </w:rPr>
        <w:t>COURSE AIMS AND INTENDED LEARNING OUTCOMES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The course aims to supply the suitable instruments for understanding the processes involved in running and governing businesses.</w:t>
      </w:r>
    </w:p>
    <w:p w:rsidR="007A7C47" w:rsidRPr="00E8289E" w:rsidRDefault="007A7C47" w:rsidP="007A7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jc w:val="both"/>
        <w:rPr>
          <w:rFonts w:eastAsia="Times New Roman"/>
          <w:sz w:val="20"/>
          <w:bdr w:val="none" w:sz="0" w:space="0" w:color="auto"/>
        </w:rPr>
      </w:pPr>
      <w:r w:rsidRPr="00E8289E">
        <w:rPr>
          <w:sz w:val="20"/>
          <w:bdr w:val="none" w:sz="0" w:space="0" w:color="auto"/>
        </w:rPr>
        <w:t xml:space="preserve">By the end of the course, students will be able to understand the entrepreneurial and managerial approach to corporate governance and the abilities and skills required for </w:t>
      </w:r>
      <w:r w:rsidR="00880BA0" w:rsidRPr="00E8289E">
        <w:rPr>
          <w:sz w:val="20"/>
          <w:bdr w:val="none" w:sz="0" w:space="0" w:color="auto"/>
        </w:rPr>
        <w:t xml:space="preserve">the governance of </w:t>
      </w:r>
      <w:r w:rsidRPr="00E8289E">
        <w:rPr>
          <w:sz w:val="20"/>
          <w:bdr w:val="none" w:sz="0" w:space="0" w:color="auto"/>
        </w:rPr>
        <w:t>companies; they will know the various aspects of strategic management and operative management and will be able to assess their critical aspects.</w:t>
      </w:r>
    </w:p>
    <w:p w:rsidR="00E90D63" w:rsidRPr="00E8289E" w:rsidRDefault="00FB0478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:rsidR="00E90D63" w:rsidRPr="00E8289E" w:rsidRDefault="00FB0478">
      <w:pPr>
        <w:pStyle w:val="CorpoA"/>
        <w:rPr>
          <w:i/>
          <w:iCs/>
          <w:shd w:val="clear" w:color="auto" w:fill="FEFFFF"/>
        </w:rPr>
      </w:pPr>
      <w:r w:rsidRPr="00E8289E">
        <w:rPr>
          <w:shd w:val="clear" w:color="auto" w:fill="FEFFFF"/>
        </w:rPr>
        <w:t>1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Enterprise and business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enterprise and the stakeholders.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governance of the enterprise.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Business strategies.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planning and the control of operations.</w:t>
      </w:r>
    </w:p>
    <w:p w:rsidR="00E90D63" w:rsidRPr="00E8289E" w:rsidRDefault="00FB0478">
      <w:pPr>
        <w:pStyle w:val="CorpoA"/>
        <w:spacing w:before="120"/>
        <w:rPr>
          <w:i/>
          <w:iCs/>
          <w:shd w:val="clear" w:color="auto" w:fill="FEFFFF"/>
        </w:rPr>
      </w:pPr>
      <w:r w:rsidRPr="00E8289E">
        <w:rPr>
          <w:shd w:val="clear" w:color="auto" w:fill="FEFFFF"/>
        </w:rPr>
        <w:t>2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The operational management of a company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Transactions that characterise a company's activity.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conditions for equilibrium of the enterprise.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Analysis of the capital and earnings of the enterprise.</w:t>
      </w:r>
    </w:p>
    <w:p w:rsidR="00E90D63" w:rsidRPr="00E8289E" w:rsidRDefault="00FB0478">
      <w:pPr>
        <w:pStyle w:val="CorpoA"/>
        <w:spacing w:before="120"/>
        <w:rPr>
          <w:shd w:val="clear" w:color="auto" w:fill="FEFFFF"/>
        </w:rPr>
      </w:pPr>
      <w:r w:rsidRPr="00E8289E">
        <w:rPr>
          <w:shd w:val="clear" w:color="auto" w:fill="FEFFFF"/>
        </w:rPr>
        <w:t>3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The different configurations of the capital of an enterprise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Working capital.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Liquidation capital.</w:t>
      </w:r>
    </w:p>
    <w:p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Economic capital.</w:t>
      </w:r>
    </w:p>
    <w:p w:rsidR="00E90D63" w:rsidRPr="00E8289E" w:rsidRDefault="00FB0478">
      <w:pPr>
        <w:pStyle w:val="CorpoA"/>
        <w:spacing w:before="240" w:after="120"/>
        <w:rPr>
          <w:b/>
          <w:bCs/>
          <w:i/>
          <w:i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READING LIST</w:t>
      </w:r>
    </w:p>
    <w:p w:rsidR="00E90D63" w:rsidRPr="00E8289E" w:rsidRDefault="00FB0478">
      <w:pPr>
        <w:pStyle w:val="Testo1"/>
        <w:spacing w:line="240" w:lineRule="atLeast"/>
        <w:rPr>
          <w:shd w:val="clear" w:color="auto" w:fill="FEFFFF"/>
        </w:rPr>
      </w:pPr>
      <w:r w:rsidRPr="00E8289E">
        <w:rPr>
          <w:smallCaps/>
          <w:sz w:val="16"/>
          <w:szCs w:val="16"/>
          <w:shd w:val="clear" w:color="auto" w:fill="FEFFFF"/>
        </w:rPr>
        <w:t xml:space="preserve">S. </w:t>
      </w:r>
      <w:proofErr w:type="spellStart"/>
      <w:r w:rsidRPr="00E8289E">
        <w:rPr>
          <w:smallCaps/>
          <w:sz w:val="16"/>
          <w:szCs w:val="16"/>
          <w:shd w:val="clear" w:color="auto" w:fill="FEFFFF"/>
        </w:rPr>
        <w:t>Sciarelli</w:t>
      </w:r>
      <w:proofErr w:type="spellEnd"/>
      <w:r w:rsidRPr="00E8289E">
        <w:rPr>
          <w:smallCaps/>
          <w:sz w:val="16"/>
          <w:szCs w:val="16"/>
          <w:shd w:val="clear" w:color="auto" w:fill="FEFFFF"/>
        </w:rPr>
        <w:t>,</w:t>
      </w:r>
      <w:r w:rsidRPr="00E8289E">
        <w:rPr>
          <w:i/>
          <w:iCs/>
          <w:shd w:val="clear" w:color="auto" w:fill="FEFFFF"/>
        </w:rPr>
        <w:t xml:space="preserve"> La Gestione </w:t>
      </w:r>
      <w:proofErr w:type="spellStart"/>
      <w:r w:rsidRPr="00E8289E">
        <w:rPr>
          <w:i/>
          <w:iCs/>
          <w:shd w:val="clear" w:color="auto" w:fill="FEFFFF"/>
        </w:rPr>
        <w:t>dell’Impresa</w:t>
      </w:r>
      <w:proofErr w:type="spellEnd"/>
      <w:r w:rsidRPr="00E8289E">
        <w:rPr>
          <w:i/>
          <w:iCs/>
          <w:shd w:val="clear" w:color="auto" w:fill="FEFFFF"/>
        </w:rPr>
        <w:t>,</w:t>
      </w:r>
      <w:r w:rsidRPr="00E8289E">
        <w:rPr>
          <w:shd w:val="clear" w:color="auto" w:fill="FEFFFF"/>
        </w:rPr>
        <w:t xml:space="preserve"> CEDAM, 20</w:t>
      </w:r>
      <w:r w:rsidR="00711E03">
        <w:rPr>
          <w:shd w:val="clear" w:color="auto" w:fill="FEFFFF"/>
        </w:rPr>
        <w:t>20</w:t>
      </w:r>
      <w:bookmarkStart w:id="0" w:name="_GoBack"/>
      <w:bookmarkEnd w:id="0"/>
      <w:r w:rsidRPr="00E8289E">
        <w:rPr>
          <w:shd w:val="clear" w:color="auto" w:fill="FEFFFF"/>
        </w:rPr>
        <w:t xml:space="preserve"> (all of which is to be studied with the exception of the appendix).</w:t>
      </w:r>
    </w:p>
    <w:p w:rsidR="00E90D63" w:rsidRPr="00E8289E" w:rsidRDefault="00FB0478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TEACHING METHOD</w:t>
      </w:r>
    </w:p>
    <w:p w:rsidR="00E90D63" w:rsidRPr="00E8289E" w:rsidRDefault="00FB0478">
      <w:pPr>
        <w:pStyle w:val="Testo2"/>
        <w:rPr>
          <w:shd w:val="clear" w:color="auto" w:fill="FEFFFF"/>
        </w:rPr>
      </w:pPr>
      <w:r w:rsidRPr="00E8289E">
        <w:rPr>
          <w:shd w:val="clear" w:color="auto" w:fill="FEFFFF"/>
        </w:rPr>
        <w:t>Frontal lectures presenting both theoretical and practical elements will investigate, with analyses and in-depth study, the topics summarised in the syllabus and indicated in the reading list.</w:t>
      </w:r>
    </w:p>
    <w:p w:rsidR="007A7C47" w:rsidRPr="00E8289E" w:rsidRDefault="007A7C47" w:rsidP="007A7C47">
      <w:pPr>
        <w:spacing w:before="240" w:after="120"/>
        <w:rPr>
          <w:b/>
          <w:i/>
          <w:sz w:val="18"/>
        </w:rPr>
      </w:pPr>
      <w:r w:rsidRPr="00E8289E">
        <w:rPr>
          <w:b/>
          <w:i/>
          <w:sz w:val="18"/>
        </w:rPr>
        <w:t>ASSESSMENT METHOD AND CRITERIA</w:t>
      </w:r>
    </w:p>
    <w:p w:rsidR="00E90D63" w:rsidRPr="00E8289E" w:rsidRDefault="00FB0478" w:rsidP="00E8289E">
      <w:pPr>
        <w:pStyle w:val="Testo2"/>
        <w:rPr>
          <w:rFonts w:ascii="Times New Roman" w:hAnsi="Times New Roman"/>
          <w:color w:val="auto"/>
          <w:sz w:val="20"/>
          <w:szCs w:val="24"/>
          <w:bdr w:val="none" w:sz="0" w:space="0" w:color="auto"/>
        </w:rPr>
      </w:pPr>
      <w:r w:rsidRPr="00E8289E">
        <w:rPr>
          <w:shd w:val="clear" w:color="auto" w:fill="FEFFFF"/>
        </w:rPr>
        <w:lastRenderedPageBreak/>
        <w:t xml:space="preserve">The exam will be a written test consisting of a variable number of true/false questions 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(15 questions worth 2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 each or 20 questions worth 1.5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 each)</w:t>
      </w:r>
      <w:r w:rsidRPr="00E8289E">
        <w:rPr>
          <w:sz w:val="16"/>
          <w:shd w:val="clear" w:color="auto" w:fill="FEFFFF"/>
        </w:rPr>
        <w:t xml:space="preserve"> </w:t>
      </w:r>
      <w:r w:rsidRPr="00E8289E">
        <w:rPr>
          <w:shd w:val="clear" w:color="auto" w:fill="FEFFFF"/>
        </w:rPr>
        <w:t xml:space="preserve">on the entire syllabus, with 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a maximum penalty of one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</w:t>
      </w:r>
      <w:r w:rsidRPr="00E8289E">
        <w:rPr>
          <w:sz w:val="16"/>
          <w:shd w:val="clear" w:color="auto" w:fill="FEFFFF"/>
        </w:rPr>
        <w:t xml:space="preserve"> </w:t>
      </w:r>
      <w:r w:rsidRPr="00E8289E">
        <w:rPr>
          <w:shd w:val="clear" w:color="auto" w:fill="FEFFFF"/>
        </w:rPr>
        <w:t>per incorrect answer.</w:t>
      </w:r>
      <w:r w:rsidRPr="00E8289E">
        <w:rPr>
          <w:rFonts w:ascii="Times New Roman" w:hAnsi="Times New Roman"/>
          <w:color w:val="auto"/>
          <w:bdr w:val="none" w:sz="0" w:space="0" w:color="auto"/>
        </w:rPr>
        <w:t xml:space="preserve"> No </w:t>
      </w:r>
      <w:r w:rsidR="00E8289E" w:rsidRPr="00E8289E">
        <w:rPr>
          <w:rFonts w:ascii="Times New Roman" w:hAnsi="Times New Roman"/>
          <w:color w:val="auto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bdr w:val="none" w:sz="0" w:space="0" w:color="auto"/>
        </w:rPr>
        <w:t xml:space="preserve"> will be deducted for unanswered questions.</w:t>
      </w:r>
      <w:r w:rsidRPr="00E8289E">
        <w:rPr>
          <w:shd w:val="clear" w:color="auto" w:fill="FEFFFF"/>
        </w:rPr>
        <w:t xml:space="preserve"> </w:t>
      </w:r>
      <w:r w:rsidR="00E8289E" w:rsidRPr="00E8289E">
        <w:rPr>
          <w:shd w:val="clear" w:color="auto" w:fill="FEFFFF"/>
        </w:rPr>
        <w:t>Students</w:t>
      </w:r>
      <w:r w:rsidRPr="00E8289E">
        <w:rPr>
          <w:shd w:val="clear" w:color="auto" w:fill="FEFFFF"/>
        </w:rPr>
        <w:t xml:space="preserve"> may request a supplementary oral exam for marks above 25/30. </w:t>
      </w:r>
    </w:p>
    <w:p w:rsidR="00E90D63" w:rsidRPr="00E8289E" w:rsidRDefault="00FB0478">
      <w:pPr>
        <w:pStyle w:val="Testo2"/>
        <w:rPr>
          <w:shd w:val="clear" w:color="auto" w:fill="FEFFFF"/>
        </w:rPr>
      </w:pPr>
      <w:r w:rsidRPr="00E8289E">
        <w:rPr>
          <w:shd w:val="clear" w:color="auto" w:fill="FEFFFF"/>
        </w:rPr>
        <w:t>There will be no interim tests.</w:t>
      </w:r>
    </w:p>
    <w:p w:rsidR="007A7C47" w:rsidRPr="00E8289E" w:rsidRDefault="007A7C47" w:rsidP="007A7C47">
      <w:pPr>
        <w:spacing w:before="240" w:after="120" w:line="240" w:lineRule="exact"/>
        <w:rPr>
          <w:b/>
          <w:i/>
          <w:sz w:val="18"/>
        </w:rPr>
      </w:pPr>
      <w:r w:rsidRPr="00E8289E">
        <w:rPr>
          <w:b/>
          <w:i/>
          <w:sz w:val="18"/>
        </w:rPr>
        <w:t>NOTES AND PREREQUISITES</w:t>
      </w:r>
    </w:p>
    <w:p w:rsidR="007A7C47" w:rsidRDefault="007A7C47" w:rsidP="007A7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z w:val="18"/>
          <w:szCs w:val="20"/>
          <w:bdr w:val="none" w:sz="0" w:space="0" w:color="auto"/>
        </w:rPr>
      </w:pPr>
      <w:r w:rsidRPr="00E8289E">
        <w:rPr>
          <w:rFonts w:ascii="Times" w:hAnsi="Times"/>
          <w:sz w:val="18"/>
          <w:szCs w:val="20"/>
          <w:bdr w:val="none" w:sz="0" w:space="0" w:color="auto"/>
        </w:rPr>
        <w:t>Students require basic knowledge of business economics.</w:t>
      </w:r>
    </w:p>
    <w:p w:rsidR="00D5748D" w:rsidRPr="006C2684" w:rsidRDefault="00D5748D" w:rsidP="00D5748D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:rsidR="00D5748D" w:rsidRPr="00E8289E" w:rsidRDefault="00D5748D" w:rsidP="007A7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</w:rPr>
      </w:pPr>
    </w:p>
    <w:p w:rsidR="00E90D63" w:rsidRDefault="00FB0478">
      <w:pPr>
        <w:pStyle w:val="Testo2"/>
      </w:pPr>
      <w:r w:rsidRPr="00E8289E">
        <w:rPr>
          <w:shd w:val="clear" w:color="auto" w:fill="FEFFFF"/>
        </w:rPr>
        <w:t>Further information can be found on the lecturer's webpage at http://docenti.unicatt.it/web/searchByName.do?language=ENG or on the Faculty notice board.</w:t>
      </w:r>
    </w:p>
    <w:sectPr w:rsidR="00E90D63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4B" w:rsidRDefault="00BA144B">
      <w:r>
        <w:separator/>
      </w:r>
    </w:p>
  </w:endnote>
  <w:endnote w:type="continuationSeparator" w:id="0">
    <w:p w:rsidR="00BA144B" w:rsidRDefault="00BA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3" w:rsidRDefault="00E90D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4B" w:rsidRDefault="00BA144B">
      <w:r>
        <w:separator/>
      </w:r>
    </w:p>
  </w:footnote>
  <w:footnote w:type="continuationSeparator" w:id="0">
    <w:p w:rsidR="00BA144B" w:rsidRDefault="00BA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3" w:rsidRDefault="00E90D6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3"/>
    <w:rsid w:val="00711E03"/>
    <w:rsid w:val="007A7C47"/>
    <w:rsid w:val="00880BA0"/>
    <w:rsid w:val="009F544D"/>
    <w:rsid w:val="00A12715"/>
    <w:rsid w:val="00BA144B"/>
    <w:rsid w:val="00CC72CA"/>
    <w:rsid w:val="00D5748D"/>
    <w:rsid w:val="00DF0915"/>
    <w:rsid w:val="00E8289E"/>
    <w:rsid w:val="00E90D63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C6CF"/>
  <w15:docId w15:val="{7806FC56-87EA-4E8B-84C7-90DD27E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customStyle="1" w:styleId="Intestazione3">
    <w:name w:val="Intestazione 3"/>
    <w:next w:val="CorpoA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2</cp:revision>
  <dcterms:created xsi:type="dcterms:W3CDTF">2021-05-28T09:27:00Z</dcterms:created>
  <dcterms:modified xsi:type="dcterms:W3CDTF">2021-05-28T09:27:00Z</dcterms:modified>
</cp:coreProperties>
</file>