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4954" w14:textId="77777777" w:rsidR="004C37F1" w:rsidRPr="004C37F1" w:rsidRDefault="004C37F1" w:rsidP="004C37F1">
      <w:pPr>
        <w:tabs>
          <w:tab w:val="clear" w:pos="284"/>
        </w:tabs>
        <w:spacing w:before="120"/>
        <w:ind w:left="284" w:hanging="284"/>
        <w:outlineLvl w:val="0"/>
        <w:rPr>
          <w:b/>
        </w:rPr>
      </w:pPr>
      <w:r>
        <w:rPr>
          <w:b/>
        </w:rPr>
        <w:t xml:space="preserve">Preliminary Seminar to the BA Thesis </w:t>
      </w:r>
    </w:p>
    <w:p w14:paraId="79E68588" w14:textId="734ECB6E" w:rsidR="00926E90" w:rsidRDefault="00926E90" w:rsidP="00926E90">
      <w:pPr>
        <w:pStyle w:val="Titolo2"/>
        <w:rPr>
          <w:noProof w:val="0"/>
        </w:rPr>
      </w:pPr>
      <w:r>
        <w:rPr>
          <w:noProof w:val="0"/>
        </w:rPr>
        <w:t xml:space="preserve">Prof. </w:t>
      </w:r>
      <w:proofErr w:type="spellStart"/>
      <w:r>
        <w:rPr>
          <w:noProof w:val="0"/>
        </w:rPr>
        <w:t>Savina</w:t>
      </w:r>
      <w:proofErr w:type="spellEnd"/>
      <w:r>
        <w:rPr>
          <w:noProof w:val="0"/>
        </w:rPr>
        <w:t xml:space="preserve"> Raynaud </w:t>
      </w:r>
    </w:p>
    <w:p w14:paraId="23E8A60B" w14:textId="77777777" w:rsidR="00110F92" w:rsidRPr="00110F92" w:rsidRDefault="00110F92" w:rsidP="00110F92">
      <w:pPr>
        <w:pStyle w:val="Titolo2"/>
        <w:spacing w:before="240" w:after="120"/>
        <w:rPr>
          <w:smallCaps w:val="0"/>
          <w:noProof w:val="0"/>
          <w:szCs w:val="18"/>
        </w:rPr>
      </w:pPr>
      <w:r>
        <w:rPr>
          <w:smallCaps w:val="0"/>
          <w:noProof w:val="0"/>
          <w:szCs w:val="18"/>
        </w:rPr>
        <w:t xml:space="preserve">Coordinated by Prof. </w:t>
      </w:r>
      <w:proofErr w:type="spellStart"/>
      <w:r>
        <w:rPr>
          <w:smallCaps w:val="0"/>
          <w:noProof w:val="0"/>
          <w:szCs w:val="18"/>
        </w:rPr>
        <w:t>Savina</w:t>
      </w:r>
      <w:proofErr w:type="spellEnd"/>
      <w:r>
        <w:rPr>
          <w:smallCaps w:val="0"/>
          <w:noProof w:val="0"/>
          <w:szCs w:val="18"/>
        </w:rPr>
        <w:t xml:space="preserve"> Raynaud in collaboration with the bibliographic information services</w:t>
      </w:r>
    </w:p>
    <w:p w14:paraId="1B9DB6BB" w14:textId="77777777" w:rsidR="00926E90" w:rsidRPr="00110F92" w:rsidRDefault="00926E90" w:rsidP="00926E9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Introduction: Planning a research project and the scope of investigation; the scientific-disciplinary fields, conformity with the degree class and study plan (</w:t>
      </w:r>
      <w:r>
        <w:rPr>
          <w:i/>
          <w:iCs/>
          <w:sz w:val="18"/>
          <w:szCs w:val="18"/>
        </w:rPr>
        <w:t xml:space="preserve">piano </w:t>
      </w:r>
      <w:proofErr w:type="spellStart"/>
      <w:r>
        <w:rPr>
          <w:i/>
          <w:iCs/>
          <w:sz w:val="18"/>
          <w:szCs w:val="18"/>
        </w:rPr>
        <w:t>degli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studi</w:t>
      </w:r>
      <w:proofErr w:type="spellEnd"/>
      <w:r>
        <w:rPr>
          <w:sz w:val="18"/>
          <w:szCs w:val="18"/>
        </w:rPr>
        <w:t>).</w:t>
      </w:r>
    </w:p>
    <w:p w14:paraId="0C77F562" w14:textId="2087A709" w:rsidR="00926E90" w:rsidRPr="00110F92" w:rsidRDefault="00926E90" w:rsidP="00926E90">
      <w:pPr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Bibliographic research (</w:t>
      </w:r>
      <w:r w:rsidR="00293B3F">
        <w:rPr>
          <w:sz w:val="18"/>
          <w:szCs w:val="18"/>
        </w:rPr>
        <w:t xml:space="preserve">led by </w:t>
      </w:r>
      <w:r>
        <w:rPr>
          <w:sz w:val="18"/>
          <w:szCs w:val="18"/>
        </w:rPr>
        <w:t>the university library service).</w:t>
      </w:r>
    </w:p>
    <w:p w14:paraId="710D7515" w14:textId="32135E8B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University library: services and portal, OPAC and discovery tool</w:t>
      </w:r>
      <w:r w:rsidR="00767FE2">
        <w:rPr>
          <w:sz w:val="18"/>
          <w:szCs w:val="18"/>
        </w:rPr>
        <w:t>s</w:t>
      </w:r>
    </w:p>
    <w:p w14:paraId="2C51A795" w14:textId="122F3C47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Research methodology - basic and advanced. Subject area resources </w:t>
      </w:r>
    </w:p>
    <w:p w14:paraId="5396C9D5" w14:textId="30F850EB" w:rsidR="00926E90" w:rsidRPr="00110F92" w:rsidRDefault="0010388E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Use of materials: copyright basics</w:t>
      </w:r>
      <w:r>
        <w:rPr>
          <w:i/>
          <w:sz w:val="18"/>
          <w:szCs w:val="18"/>
        </w:rPr>
        <w:t xml:space="preserve"> </w:t>
      </w:r>
    </w:p>
    <w:p w14:paraId="5AC9CDE3" w14:textId="2BD0EA92" w:rsidR="00926E90" w:rsidRPr="00110F92" w:rsidRDefault="00926E90" w:rsidP="00926E90">
      <w:pPr>
        <w:pStyle w:val="Paragrafoelenc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The bibliography: data and rules, bibliography managers: </w:t>
      </w:r>
      <w:r>
        <w:rPr>
          <w:i/>
          <w:sz w:val="18"/>
          <w:szCs w:val="18"/>
        </w:rPr>
        <w:t>RefWorks</w:t>
      </w:r>
    </w:p>
    <w:p w14:paraId="0AEC71AF" w14:textId="77777777" w:rsidR="00926E90" w:rsidRPr="00110F92" w:rsidRDefault="00926E90" w:rsidP="00926E90">
      <w:pPr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Scientific-disciplinary data sheets </w:t>
      </w:r>
    </w:p>
    <w:p w14:paraId="2BD1EF7D" w14:textId="77777777" w:rsidR="00926E90" w:rsidRPr="00110F92" w:rsidRDefault="00926E90" w:rsidP="00926E90">
      <w:pPr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Research methodology and techniques in the humanities </w:t>
      </w:r>
    </w:p>
    <w:p w14:paraId="2FDD48A1" w14:textId="77777777" w:rsidR="00926E90" w:rsidRPr="00110F92" w:rsidRDefault="00926E90" w:rsidP="00926E90">
      <w:pPr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Writing and discussing a degree thesis. Personal project, rules on text composition, objectives. Skills in expressing and justifying arguments</w:t>
      </w:r>
    </w:p>
    <w:p w14:paraId="5738277F" w14:textId="77777777" w:rsidR="00926E90" w:rsidRPr="00110F92" w:rsidRDefault="00926E90" w:rsidP="00926E90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Course materials and bibliographical information will be accessible on Blackboard. </w:t>
      </w:r>
    </w:p>
    <w:p w14:paraId="20501944" w14:textId="77777777" w:rsidR="00926E90" w:rsidRPr="00110F92" w:rsidRDefault="00926E90" w:rsidP="00926E9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Attendance is strongly encouraged.</w:t>
      </w:r>
    </w:p>
    <w:p w14:paraId="3BE60F49" w14:textId="7979DBF3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TEACHING METHOD AND </w:t>
      </w:r>
      <w:r w:rsidR="002B4770">
        <w:rPr>
          <w:rFonts w:ascii="Times New Roman" w:hAnsi="Times New Roman"/>
          <w:b/>
          <w:i/>
          <w:sz w:val="18"/>
          <w:szCs w:val="18"/>
        </w:rPr>
        <w:t>INTENDED</w:t>
      </w:r>
      <w:r>
        <w:rPr>
          <w:rFonts w:ascii="Times New Roman" w:hAnsi="Times New Roman"/>
          <w:b/>
          <w:i/>
          <w:sz w:val="18"/>
          <w:szCs w:val="18"/>
        </w:rPr>
        <w:t xml:space="preserve"> LEARNING OUTCOMES</w:t>
      </w:r>
    </w:p>
    <w:p w14:paraId="03E5253C" w14:textId="197B8660" w:rsidR="00926E90" w:rsidRPr="00110F92" w:rsidRDefault="00926E90" w:rsidP="00926E90">
      <w:pPr>
        <w:spacing w:line="220" w:lineRule="exact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Frontal lectures and training in the use of the resources of the university library. By the end of the course and </w:t>
      </w:r>
      <w:r>
        <w:rPr>
          <w:rFonts w:ascii="Times New Roman" w:hAnsi="Times New Roman"/>
          <w:i/>
          <w:iCs/>
          <w:sz w:val="18"/>
          <w:szCs w:val="18"/>
        </w:rPr>
        <w:t>subsequent personal study</w:t>
      </w:r>
      <w:r>
        <w:rPr>
          <w:rFonts w:ascii="Times New Roman" w:hAnsi="Times New Roman"/>
          <w:sz w:val="18"/>
          <w:szCs w:val="18"/>
        </w:rPr>
        <w:t xml:space="preserve">, students will be able to design their thesis by identifying the question they intend to answer, the available data and the disciplinary or multidisciplinary </w:t>
      </w:r>
      <w:proofErr w:type="gramStart"/>
      <w:r>
        <w:rPr>
          <w:rFonts w:ascii="Times New Roman" w:hAnsi="Times New Roman"/>
          <w:sz w:val="18"/>
          <w:szCs w:val="18"/>
        </w:rPr>
        <w:t>context;</w:t>
      </w:r>
      <w:proofErr w:type="gramEnd"/>
      <w:r>
        <w:rPr>
          <w:rFonts w:ascii="Times New Roman" w:hAnsi="Times New Roman"/>
          <w:sz w:val="18"/>
          <w:szCs w:val="18"/>
        </w:rPr>
        <w:t xml:space="preserve"> students will have learned how to find specific bibliographic and documentary resources, how to outline their hypotheses with respect to the status </w:t>
      </w:r>
      <w:proofErr w:type="spellStart"/>
      <w:r>
        <w:rPr>
          <w:rFonts w:ascii="Times New Roman" w:hAnsi="Times New Roman"/>
          <w:sz w:val="18"/>
          <w:szCs w:val="18"/>
        </w:rPr>
        <w:t>quaestionis</w:t>
      </w:r>
      <w:proofErr w:type="spellEnd"/>
      <w:r>
        <w:rPr>
          <w:rFonts w:ascii="Times New Roman" w:hAnsi="Times New Roman"/>
          <w:sz w:val="18"/>
          <w:szCs w:val="18"/>
        </w:rPr>
        <w:t xml:space="preserve"> and how to plan the basic structure of their work, which will naturally be supervised by the relevant lecturer.  </w:t>
      </w:r>
    </w:p>
    <w:p w14:paraId="08D22DBE" w14:textId="77777777" w:rsidR="00926E90" w:rsidRPr="00110F92" w:rsidRDefault="00926E90" w:rsidP="00926E9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ASSESSMENT METHOD AND CRITERIA</w:t>
      </w:r>
    </w:p>
    <w:p w14:paraId="02317552" w14:textId="1A4E1FC2" w:rsidR="00926E90" w:rsidRPr="00110F92" w:rsidRDefault="00926E90" w:rsidP="006308B7">
      <w:pPr>
        <w:spacing w:line="220" w:lineRule="exact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Preparation and submission to the lecturer one week before the oral examination</w:t>
      </w:r>
      <w:r w:rsidR="006A56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 a data sheet on the selected scientific-disciplinary field. Oral exam to assess knowledge of the contents of the seminar and of the materials made available on Blackboard, preceded by an on-line test, as part of the exam, on the use of the library system and on writing bibliographies. There will be a single final mark broken down as follows: 30% test, 40% data sheet and 30% oral exam.</w:t>
      </w:r>
    </w:p>
    <w:p w14:paraId="2D5C85FF" w14:textId="77777777" w:rsidR="00926E90" w:rsidRPr="00110F92" w:rsidRDefault="00926E90" w:rsidP="00926E9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NOTES AND PREREQUISITES </w:t>
      </w:r>
    </w:p>
    <w:p w14:paraId="28671526" w14:textId="422520EE" w:rsidR="00926E90" w:rsidRDefault="00926E90" w:rsidP="00926E90">
      <w:pPr>
        <w:spacing w:line="220" w:lineRule="exact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As this is an introductory course, it has no prerequisites in terms of contents. Students are nevertheless expected to be interested in conducting a personal research project and possess critical skills. </w:t>
      </w:r>
    </w:p>
    <w:p w14:paraId="46A51BB7" w14:textId="77777777" w:rsidR="004C37F1" w:rsidRPr="004C37F1" w:rsidRDefault="004C37F1" w:rsidP="004C37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/>
        <w:spacing w:line="220" w:lineRule="exact"/>
        <w:ind w:firstLine="284"/>
        <w:rPr>
          <w:rFonts w:eastAsia="Arial Unicode MS" w:cs="Arial Unicode MS"/>
          <w:color w:val="000000"/>
          <w:kern w:val="1"/>
          <w:sz w:val="18"/>
          <w:szCs w:val="18"/>
          <w:u w:color="000000"/>
          <w:bdr w:val="nil"/>
        </w:rPr>
      </w:pPr>
      <w:r>
        <w:rPr>
          <w:color w:val="000000"/>
          <w:sz w:val="18"/>
          <w:szCs w:val="18"/>
          <w:u w:color="000000"/>
          <w:bdr w:val="nil"/>
          <w:shd w:val="clear" w:color="auto" w:fill="FFFFFF"/>
        </w:rPr>
        <w:t xml:space="preserve">Further information can be found on the lecturer's webpage at http://docenti.unicatt.it/web/searchByName.do?language=ENG, or on the </w:t>
      </w:r>
      <w:proofErr w:type="gramStart"/>
      <w:r>
        <w:rPr>
          <w:color w:val="000000"/>
          <w:sz w:val="18"/>
          <w:szCs w:val="18"/>
          <w:u w:color="000000"/>
          <w:bdr w:val="nil"/>
          <w:shd w:val="clear" w:color="auto" w:fill="FFFFFF"/>
        </w:rPr>
        <w:t>Faculty</w:t>
      </w:r>
      <w:proofErr w:type="gramEnd"/>
      <w:r>
        <w:rPr>
          <w:color w:val="000000"/>
          <w:sz w:val="18"/>
          <w:szCs w:val="18"/>
          <w:u w:color="000000"/>
          <w:bdr w:val="nil"/>
          <w:shd w:val="clear" w:color="auto" w:fill="FFFFFF"/>
        </w:rPr>
        <w:t xml:space="preserve"> notice board.</w:t>
      </w:r>
    </w:p>
    <w:p w14:paraId="22B64C98" w14:textId="77777777" w:rsidR="004C37F1" w:rsidRPr="004C37F1" w:rsidRDefault="004C37F1" w:rsidP="00926E90">
      <w:pPr>
        <w:spacing w:line="220" w:lineRule="exact"/>
        <w:ind w:firstLine="284"/>
        <w:rPr>
          <w:rFonts w:ascii="Times New Roman" w:hAnsi="Times New Roman"/>
          <w:strike/>
          <w:sz w:val="18"/>
          <w:szCs w:val="18"/>
          <w:lang w:val="en-US"/>
        </w:rPr>
      </w:pPr>
    </w:p>
    <w:p w14:paraId="15A31EA3" w14:textId="77777777" w:rsidR="00926E90" w:rsidRPr="004C37F1" w:rsidRDefault="00926E90" w:rsidP="00926E90">
      <w:pPr>
        <w:spacing w:before="120"/>
        <w:rPr>
          <w:sz w:val="18"/>
          <w:szCs w:val="18"/>
          <w:lang w:val="en-US"/>
        </w:rPr>
      </w:pPr>
    </w:p>
    <w:p w14:paraId="2DDAFFCC" w14:textId="77777777" w:rsidR="0020526B" w:rsidRPr="004C37F1" w:rsidRDefault="0020526B">
      <w:pPr>
        <w:rPr>
          <w:sz w:val="18"/>
          <w:szCs w:val="18"/>
          <w:lang w:val="en-US"/>
        </w:rPr>
      </w:pPr>
    </w:p>
    <w:sectPr w:rsidR="0020526B" w:rsidRPr="004C37F1" w:rsidSect="000179D5">
      <w:pgSz w:w="11906" w:h="16838" w:code="9"/>
      <w:pgMar w:top="2268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4218" w14:textId="77777777" w:rsidR="00B33CE3" w:rsidRDefault="00B33CE3">
      <w:pPr>
        <w:spacing w:line="240" w:lineRule="auto"/>
      </w:pPr>
      <w:r>
        <w:separator/>
      </w:r>
    </w:p>
  </w:endnote>
  <w:endnote w:type="continuationSeparator" w:id="0">
    <w:p w14:paraId="6A2CAC6F" w14:textId="77777777" w:rsidR="00B33CE3" w:rsidRDefault="00B33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01E2" w14:textId="77777777" w:rsidR="00B33CE3" w:rsidRDefault="00B33CE3">
      <w:pPr>
        <w:spacing w:line="240" w:lineRule="auto"/>
      </w:pPr>
      <w:r>
        <w:separator/>
      </w:r>
    </w:p>
  </w:footnote>
  <w:footnote w:type="continuationSeparator" w:id="0">
    <w:p w14:paraId="1336228F" w14:textId="77777777" w:rsidR="00B33CE3" w:rsidRDefault="00B33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541A"/>
    <w:multiLevelType w:val="hybridMultilevel"/>
    <w:tmpl w:val="4E64E4AA"/>
    <w:lvl w:ilvl="0" w:tplc="F684B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4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69"/>
    <w:rsid w:val="00020C14"/>
    <w:rsid w:val="0010388E"/>
    <w:rsid w:val="0010739B"/>
    <w:rsid w:val="00110F92"/>
    <w:rsid w:val="001B4169"/>
    <w:rsid w:val="0020526B"/>
    <w:rsid w:val="00293B3F"/>
    <w:rsid w:val="002B4770"/>
    <w:rsid w:val="00380C89"/>
    <w:rsid w:val="004C37F1"/>
    <w:rsid w:val="006308B7"/>
    <w:rsid w:val="006548B7"/>
    <w:rsid w:val="006A563B"/>
    <w:rsid w:val="006D765F"/>
    <w:rsid w:val="00767FE2"/>
    <w:rsid w:val="007D06B3"/>
    <w:rsid w:val="00862DEB"/>
    <w:rsid w:val="00926E90"/>
    <w:rsid w:val="009F2473"/>
    <w:rsid w:val="00AF7B2A"/>
    <w:rsid w:val="00B1407E"/>
    <w:rsid w:val="00B33CE3"/>
    <w:rsid w:val="00BD28E8"/>
    <w:rsid w:val="00C65D93"/>
    <w:rsid w:val="00DB1591"/>
    <w:rsid w:val="00E61174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F0CF"/>
  <w15:chartTrackingRefBased/>
  <w15:docId w15:val="{0C2A58B4-3C56-4B72-81FA-8D33FE1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E9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926E90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26E9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6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6E9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26E9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E9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26E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6E90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6E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Bisello Stefano</cp:lastModifiedBy>
  <cp:revision>2</cp:revision>
  <dcterms:created xsi:type="dcterms:W3CDTF">2022-06-30T08:36:00Z</dcterms:created>
  <dcterms:modified xsi:type="dcterms:W3CDTF">2022-06-30T08:36:00Z</dcterms:modified>
</cp:coreProperties>
</file>