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55726" w14:textId="77777777" w:rsidR="00360878" w:rsidRPr="00360878" w:rsidRDefault="00360878" w:rsidP="00360878">
      <w:pPr>
        <w:spacing w:before="480" w:line="240" w:lineRule="exact"/>
        <w:jc w:val="left"/>
        <w:outlineLvl w:val="0"/>
        <w:rPr>
          <w:rFonts w:ascii="Times" w:eastAsia="Times New Roman" w:hAnsi="Times" w:cs="Times"/>
          <w:b/>
          <w:bCs/>
          <w:szCs w:val="20"/>
        </w:rPr>
      </w:pPr>
      <w:r>
        <w:rPr>
          <w:rFonts w:ascii="Times" w:hAnsi="Times"/>
          <w:b/>
          <w:bCs/>
          <w:szCs w:val="20"/>
        </w:rPr>
        <w:t>Geography of Tourism</w:t>
      </w:r>
    </w:p>
    <w:p w14:paraId="1E6A6DBB" w14:textId="77777777" w:rsidR="00587587" w:rsidRPr="00295EBF" w:rsidRDefault="00587587" w:rsidP="00587587">
      <w:pPr>
        <w:pStyle w:val="Intestazione2"/>
        <w:rPr>
          <w:color w:val="auto"/>
          <w:shd w:val="clear" w:color="auto" w:fill="FEFFFF"/>
        </w:rPr>
      </w:pPr>
      <w:r w:rsidRPr="00295EBF">
        <w:rPr>
          <w:color w:val="auto"/>
          <w:shd w:val="clear" w:color="auto" w:fill="FEFFFF"/>
        </w:rPr>
        <w:t>Prof. Laura Solimene</w:t>
      </w:r>
    </w:p>
    <w:p w14:paraId="74006357" w14:textId="77777777" w:rsidR="00587587" w:rsidRPr="00295EBF" w:rsidRDefault="00587587" w:rsidP="00587587">
      <w:pPr>
        <w:spacing w:before="240" w:after="120"/>
        <w:rPr>
          <w:b/>
          <w:i/>
          <w:sz w:val="18"/>
        </w:rPr>
      </w:pPr>
      <w:r w:rsidRPr="00295EBF">
        <w:rPr>
          <w:b/>
          <w:i/>
          <w:sz w:val="18"/>
        </w:rPr>
        <w:t xml:space="preserve">COURSE AIMS AND INTENDED LEARNING OUTCOMES </w:t>
      </w:r>
    </w:p>
    <w:p w14:paraId="4DEFFA97" w14:textId="77777777" w:rsidR="00587587" w:rsidRPr="00295EBF" w:rsidRDefault="00587587" w:rsidP="00587587">
      <w:pPr>
        <w:pStyle w:val="CorpoA"/>
        <w:rPr>
          <w:color w:val="auto"/>
          <w:shd w:val="clear" w:color="auto" w:fill="FEFFFF"/>
        </w:rPr>
      </w:pPr>
      <w:r w:rsidRPr="00295EBF">
        <w:rPr>
          <w:color w:val="auto"/>
          <w:shd w:val="clear" w:color="auto" w:fill="FEFFFF"/>
        </w:rPr>
        <w:t>The course provides a general overview of basic economic concepts as they apply to tourism. In particular, the course analyses the behaviour of the main actors within the sector (micro-economic analysis) and the aspects linking the sector with gross production, national revenue, employment and international trade.</w:t>
      </w:r>
    </w:p>
    <w:p w14:paraId="0A6D419C" w14:textId="77777777" w:rsidR="00587587" w:rsidRPr="00295EBF" w:rsidRDefault="00587587" w:rsidP="00587587">
      <w:pPr>
        <w:pStyle w:val="CorpoA"/>
        <w:rPr>
          <w:color w:val="auto"/>
          <w:shd w:val="clear" w:color="auto" w:fill="FEFFFF"/>
        </w:rPr>
      </w:pPr>
      <w:r w:rsidRPr="00295EBF">
        <w:rPr>
          <w:color w:val="auto"/>
          <w:shd w:val="clear" w:color="auto" w:fill="FEFFFF"/>
        </w:rPr>
        <w:t>At the end of the course, students will be able to identify the micro and macro-economic foundations of tourism, understand its contribution to the economic growth of a nation, and recognize the strengths and weaknesses of the different strategies adopted, also considering the changes introduced by ICT (Information and Communication Technology). Furthermore, students will be able to understand the role played by the institutions governing and organising the economic relations between the actors operating in this field.</w:t>
      </w:r>
    </w:p>
    <w:p w14:paraId="1C7AAD7B" w14:textId="77777777" w:rsidR="00587587" w:rsidRPr="00295EBF" w:rsidRDefault="00587587" w:rsidP="00587587">
      <w:pPr>
        <w:pStyle w:val="CorpoA"/>
        <w:spacing w:before="240" w:after="120"/>
        <w:rPr>
          <w:b/>
          <w:bCs/>
          <w:color w:val="auto"/>
          <w:sz w:val="18"/>
          <w:szCs w:val="18"/>
          <w:shd w:val="clear" w:color="auto" w:fill="FEFFFF"/>
        </w:rPr>
      </w:pPr>
      <w:r w:rsidRPr="00295EBF">
        <w:rPr>
          <w:b/>
          <w:bCs/>
          <w:i/>
          <w:iCs/>
          <w:color w:val="auto"/>
          <w:sz w:val="18"/>
          <w:szCs w:val="18"/>
          <w:shd w:val="clear" w:color="auto" w:fill="FEFFFF"/>
        </w:rPr>
        <w:t>COURSE CONTENT</w:t>
      </w:r>
    </w:p>
    <w:p w14:paraId="295DF6D1" w14:textId="77777777" w:rsidR="00587587" w:rsidRPr="00295EBF" w:rsidRDefault="00587587" w:rsidP="00587587">
      <w:pPr>
        <w:pStyle w:val="CorpoA"/>
        <w:numPr>
          <w:ilvl w:val="0"/>
          <w:numId w:val="6"/>
        </w:numPr>
        <w:ind w:left="284" w:hanging="284"/>
        <w:rPr>
          <w:rFonts w:ascii="Times New Roman" w:eastAsia="Times New Roman" w:hAnsi="Times New Roman" w:cs="Times New Roman"/>
          <w:color w:val="auto"/>
          <w:shd w:val="clear" w:color="auto" w:fill="FEFFFF"/>
        </w:rPr>
      </w:pPr>
      <w:r w:rsidRPr="00295EBF">
        <w:rPr>
          <w:rFonts w:ascii="Times New Roman" w:hAnsi="Times New Roman"/>
          <w:color w:val="auto"/>
          <w:shd w:val="clear" w:color="auto" w:fill="FEFFFF"/>
        </w:rPr>
        <w:t>Introduction to tourism economics: definitions and content.</w:t>
      </w:r>
    </w:p>
    <w:p w14:paraId="14D26D12" w14:textId="77777777" w:rsidR="00587587" w:rsidRPr="00295EBF" w:rsidRDefault="00587587" w:rsidP="00587587">
      <w:pPr>
        <w:pStyle w:val="CorpoA"/>
        <w:numPr>
          <w:ilvl w:val="0"/>
          <w:numId w:val="6"/>
        </w:numPr>
        <w:spacing w:before="120"/>
        <w:ind w:left="284" w:hanging="284"/>
        <w:rPr>
          <w:rFonts w:ascii="Times New Roman" w:eastAsia="Times New Roman" w:hAnsi="Times New Roman" w:cs="Times New Roman"/>
          <w:color w:val="auto"/>
          <w:shd w:val="clear" w:color="auto" w:fill="FEFFFF"/>
        </w:rPr>
      </w:pPr>
      <w:r w:rsidRPr="00295EBF">
        <w:rPr>
          <w:rFonts w:ascii="Times New Roman" w:hAnsi="Times New Roman"/>
          <w:color w:val="auto"/>
          <w:shd w:val="clear" w:color="auto" w:fill="FEFFFF"/>
        </w:rPr>
        <w:t>Micro-economic analysis of tourism:</w:t>
      </w:r>
    </w:p>
    <w:p w14:paraId="67AF0768" w14:textId="77777777" w:rsidR="00587587" w:rsidRPr="00295EBF" w:rsidRDefault="00587587" w:rsidP="00587587">
      <w:pPr>
        <w:pStyle w:val="CorpoA"/>
        <w:tabs>
          <w:tab w:val="left" w:pos="567"/>
        </w:tabs>
        <w:ind w:left="567" w:hanging="283"/>
        <w:rPr>
          <w:color w:val="auto"/>
          <w:shd w:val="clear" w:color="auto" w:fill="FEFFFF"/>
        </w:rPr>
      </w:pPr>
      <w:r w:rsidRPr="00295EBF">
        <w:rPr>
          <w:color w:val="auto"/>
          <w:shd w:val="clear" w:color="auto" w:fill="FEFFFF"/>
        </w:rPr>
        <w:t>–</w:t>
      </w:r>
      <w:r w:rsidRPr="00295EBF">
        <w:rPr>
          <w:color w:val="auto"/>
          <w:shd w:val="clear" w:color="auto" w:fill="FEFFFF"/>
        </w:rPr>
        <w:tab/>
        <w:t>the demand for tourism;</w:t>
      </w:r>
    </w:p>
    <w:p w14:paraId="40BBFFA4" w14:textId="77777777" w:rsidR="00587587" w:rsidRPr="00295EBF" w:rsidRDefault="00587587" w:rsidP="00587587">
      <w:pPr>
        <w:pStyle w:val="CorpoA"/>
        <w:tabs>
          <w:tab w:val="left" w:pos="567"/>
        </w:tabs>
        <w:ind w:left="567" w:hanging="283"/>
        <w:rPr>
          <w:color w:val="auto"/>
          <w:shd w:val="clear" w:color="auto" w:fill="FEFFFF"/>
        </w:rPr>
      </w:pPr>
      <w:r w:rsidRPr="00295EBF">
        <w:rPr>
          <w:color w:val="auto"/>
          <w:shd w:val="clear" w:color="auto" w:fill="FEFFFF"/>
        </w:rPr>
        <w:t>–</w:t>
      </w:r>
      <w:r w:rsidRPr="00295EBF">
        <w:rPr>
          <w:color w:val="auto"/>
          <w:shd w:val="clear" w:color="auto" w:fill="FEFFFF"/>
        </w:rPr>
        <w:tab/>
        <w:t>tourists as consumers;</w:t>
      </w:r>
    </w:p>
    <w:p w14:paraId="074B0EC6" w14:textId="77777777" w:rsidR="00587587" w:rsidRPr="00295EBF" w:rsidRDefault="00587587" w:rsidP="00587587">
      <w:pPr>
        <w:pStyle w:val="CorpoA"/>
        <w:tabs>
          <w:tab w:val="left" w:pos="567"/>
        </w:tabs>
        <w:ind w:left="567" w:hanging="283"/>
        <w:rPr>
          <w:color w:val="auto"/>
          <w:shd w:val="clear" w:color="auto" w:fill="FEFFFF"/>
        </w:rPr>
      </w:pPr>
      <w:r w:rsidRPr="00295EBF">
        <w:rPr>
          <w:color w:val="auto"/>
          <w:shd w:val="clear" w:color="auto" w:fill="FEFFFF"/>
        </w:rPr>
        <w:t>–</w:t>
      </w:r>
      <w:r w:rsidRPr="00295EBF">
        <w:rPr>
          <w:color w:val="auto"/>
          <w:shd w:val="clear" w:color="auto" w:fill="FEFFFF"/>
        </w:rPr>
        <w:tab/>
        <w:t>production;</w:t>
      </w:r>
    </w:p>
    <w:p w14:paraId="65826D63" w14:textId="77777777" w:rsidR="00587587" w:rsidRPr="00295EBF" w:rsidRDefault="00587587" w:rsidP="00587587">
      <w:pPr>
        <w:pStyle w:val="CorpoA"/>
        <w:tabs>
          <w:tab w:val="left" w:pos="567"/>
        </w:tabs>
        <w:ind w:left="567" w:hanging="283"/>
        <w:rPr>
          <w:color w:val="auto"/>
          <w:shd w:val="clear" w:color="auto" w:fill="FEFFFF"/>
        </w:rPr>
      </w:pPr>
      <w:r w:rsidRPr="00295EBF">
        <w:rPr>
          <w:color w:val="auto"/>
          <w:shd w:val="clear" w:color="auto" w:fill="FEFFFF"/>
        </w:rPr>
        <w:t>–</w:t>
      </w:r>
      <w:r w:rsidRPr="00295EBF">
        <w:rPr>
          <w:color w:val="auto"/>
          <w:shd w:val="clear" w:color="auto" w:fill="FEFFFF"/>
        </w:rPr>
        <w:tab/>
        <w:t>the tourist industry.</w:t>
      </w:r>
    </w:p>
    <w:p w14:paraId="57AB564A" w14:textId="77777777" w:rsidR="00587587" w:rsidRPr="00295EBF" w:rsidRDefault="00587587" w:rsidP="00587587">
      <w:pPr>
        <w:pStyle w:val="CorpoA"/>
        <w:numPr>
          <w:ilvl w:val="0"/>
          <w:numId w:val="6"/>
        </w:numPr>
        <w:spacing w:before="120"/>
        <w:ind w:left="284" w:hanging="284"/>
        <w:rPr>
          <w:rFonts w:ascii="Times New Roman" w:eastAsia="Times New Roman" w:hAnsi="Times New Roman" w:cs="Times New Roman"/>
          <w:color w:val="auto"/>
          <w:shd w:val="clear" w:color="auto" w:fill="FEFFFF"/>
        </w:rPr>
      </w:pPr>
      <w:r w:rsidRPr="00295EBF">
        <w:rPr>
          <w:rFonts w:ascii="Times New Roman" w:hAnsi="Times New Roman"/>
          <w:color w:val="auto"/>
          <w:shd w:val="clear" w:color="auto" w:fill="FEFFFF"/>
        </w:rPr>
        <w:t>Macro-economic analysis of tourism:</w:t>
      </w:r>
    </w:p>
    <w:p w14:paraId="631A413A" w14:textId="77777777" w:rsidR="00587587" w:rsidRPr="00295EBF" w:rsidRDefault="00587587" w:rsidP="00587587">
      <w:pPr>
        <w:pStyle w:val="CorpoA"/>
        <w:tabs>
          <w:tab w:val="clear" w:pos="284"/>
        </w:tabs>
        <w:ind w:left="567" w:hanging="283"/>
        <w:rPr>
          <w:color w:val="auto"/>
          <w:shd w:val="clear" w:color="auto" w:fill="FEFFFF"/>
        </w:rPr>
      </w:pPr>
      <w:r w:rsidRPr="00295EBF">
        <w:rPr>
          <w:color w:val="auto"/>
          <w:shd w:val="clear" w:color="auto" w:fill="FEFFFF"/>
        </w:rPr>
        <w:t>–</w:t>
      </w:r>
      <w:r w:rsidRPr="00295EBF">
        <w:rPr>
          <w:color w:val="auto"/>
          <w:shd w:val="clear" w:color="auto" w:fill="FEFFFF"/>
        </w:rPr>
        <w:tab/>
        <w:t>tourism within the economic system;</w:t>
      </w:r>
    </w:p>
    <w:p w14:paraId="014540F1" w14:textId="77777777" w:rsidR="00587587" w:rsidRPr="00295EBF" w:rsidRDefault="00587587" w:rsidP="00587587">
      <w:pPr>
        <w:pStyle w:val="CorpoA"/>
        <w:tabs>
          <w:tab w:val="clear" w:pos="284"/>
        </w:tabs>
        <w:ind w:left="567" w:hanging="283"/>
        <w:rPr>
          <w:color w:val="auto"/>
          <w:shd w:val="clear" w:color="auto" w:fill="FEFFFF"/>
        </w:rPr>
      </w:pPr>
      <w:r w:rsidRPr="00295EBF">
        <w:rPr>
          <w:color w:val="auto"/>
          <w:shd w:val="clear" w:color="auto" w:fill="FEFFFF"/>
        </w:rPr>
        <w:t>–</w:t>
      </w:r>
      <w:r w:rsidRPr="00295EBF">
        <w:rPr>
          <w:color w:val="auto"/>
          <w:shd w:val="clear" w:color="auto" w:fill="FEFFFF"/>
        </w:rPr>
        <w:tab/>
        <w:t>international tourism: monetary and real flows;</w:t>
      </w:r>
    </w:p>
    <w:p w14:paraId="58D8FC1F" w14:textId="77777777" w:rsidR="00587587" w:rsidRPr="00295EBF" w:rsidRDefault="00587587" w:rsidP="00587587">
      <w:pPr>
        <w:pStyle w:val="CorpoA"/>
        <w:tabs>
          <w:tab w:val="clear" w:pos="284"/>
        </w:tabs>
        <w:ind w:left="567" w:hanging="283"/>
        <w:rPr>
          <w:rFonts w:ascii="Times New Roman" w:eastAsia="Times New Roman" w:hAnsi="Times New Roman" w:cs="Times New Roman"/>
          <w:color w:val="auto"/>
          <w:shd w:val="clear" w:color="auto" w:fill="FEFFFF"/>
        </w:rPr>
      </w:pPr>
      <w:r w:rsidRPr="00295EBF">
        <w:rPr>
          <w:color w:val="auto"/>
          <w:shd w:val="clear" w:color="auto" w:fill="FEFFFF"/>
        </w:rPr>
        <w:t>–</w:t>
      </w:r>
      <w:r w:rsidRPr="00295EBF">
        <w:rPr>
          <w:color w:val="auto"/>
          <w:shd w:val="clear" w:color="auto" w:fill="FEFFFF"/>
        </w:rPr>
        <w:tab/>
      </w:r>
      <w:r w:rsidRPr="00295EBF">
        <w:rPr>
          <w:rFonts w:ascii="Times New Roman" w:hAnsi="Times New Roman"/>
          <w:color w:val="auto"/>
          <w:shd w:val="clear" w:color="auto" w:fill="FEFFFF"/>
        </w:rPr>
        <w:t>state intervention and the public organisations of tourism.</w:t>
      </w:r>
    </w:p>
    <w:p w14:paraId="174D0F4D" w14:textId="77777777" w:rsidR="00587587" w:rsidRPr="00295EBF" w:rsidRDefault="00587587" w:rsidP="00587587">
      <w:pPr>
        <w:pStyle w:val="CorpoA"/>
        <w:spacing w:before="240" w:after="120" w:line="220" w:lineRule="exact"/>
        <w:rPr>
          <w:b/>
          <w:bCs/>
          <w:i/>
          <w:iCs/>
          <w:color w:val="auto"/>
          <w:sz w:val="18"/>
          <w:szCs w:val="18"/>
          <w:shd w:val="clear" w:color="auto" w:fill="FEFFFF"/>
        </w:rPr>
      </w:pPr>
      <w:r w:rsidRPr="00295EBF">
        <w:rPr>
          <w:b/>
          <w:bCs/>
          <w:i/>
          <w:iCs/>
          <w:color w:val="auto"/>
          <w:sz w:val="18"/>
          <w:szCs w:val="18"/>
          <w:shd w:val="clear" w:color="auto" w:fill="FEFFFF"/>
        </w:rPr>
        <w:t>READING LIST</w:t>
      </w:r>
    </w:p>
    <w:p w14:paraId="0250BA58" w14:textId="77777777" w:rsidR="00587587" w:rsidRPr="00295EBF" w:rsidRDefault="00587587" w:rsidP="00587587">
      <w:pPr>
        <w:pStyle w:val="Testo1"/>
        <w:spacing w:line="240" w:lineRule="atLeast"/>
        <w:rPr>
          <w:shd w:val="clear" w:color="auto" w:fill="FEFFFF"/>
          <w:lang w:val="it-IT"/>
        </w:rPr>
      </w:pPr>
      <w:r w:rsidRPr="00295EBF">
        <w:rPr>
          <w:smallCaps/>
          <w:sz w:val="16"/>
          <w:szCs w:val="16"/>
          <w:shd w:val="clear" w:color="auto" w:fill="FEFFFF"/>
        </w:rPr>
        <w:t xml:space="preserve">G. Candela-P. </w:t>
      </w:r>
      <w:r w:rsidRPr="00295EBF">
        <w:rPr>
          <w:smallCaps/>
          <w:sz w:val="16"/>
          <w:szCs w:val="16"/>
          <w:shd w:val="clear" w:color="auto" w:fill="FEFFFF"/>
          <w:lang w:val="it-IT"/>
        </w:rPr>
        <w:t>Figini,</w:t>
      </w:r>
      <w:r w:rsidRPr="00295EBF">
        <w:rPr>
          <w:i/>
          <w:iCs/>
          <w:shd w:val="clear" w:color="auto" w:fill="FEFFFF"/>
          <w:lang w:val="it-IT"/>
        </w:rPr>
        <w:t xml:space="preserve"> Economia del turismo e delle destinazioni,</w:t>
      </w:r>
      <w:r w:rsidRPr="00295EBF">
        <w:rPr>
          <w:shd w:val="clear" w:color="auto" w:fill="FEFFFF"/>
          <w:lang w:val="it-IT"/>
        </w:rPr>
        <w:t xml:space="preserve"> McGraw-Hill, Milan, 2010, second edition.</w:t>
      </w:r>
    </w:p>
    <w:p w14:paraId="6E096C60" w14:textId="77777777" w:rsidR="00587587" w:rsidRPr="00295EBF" w:rsidRDefault="00587587" w:rsidP="00587587">
      <w:pPr>
        <w:pStyle w:val="Testo1"/>
        <w:rPr>
          <w:shd w:val="clear" w:color="auto" w:fill="FEFFFF"/>
        </w:rPr>
      </w:pPr>
      <w:r w:rsidRPr="00295EBF">
        <w:rPr>
          <w:shd w:val="clear" w:color="auto" w:fill="FEFFFF"/>
        </w:rPr>
        <w:t xml:space="preserve">Details of the specific chapters to study along with potential additional study materials will be available on the </w:t>
      </w:r>
      <w:r w:rsidRPr="00295EBF">
        <w:rPr>
          <w:i/>
          <w:iCs/>
          <w:shd w:val="clear" w:color="auto" w:fill="FEFFFF"/>
        </w:rPr>
        <w:t>e-learning</w:t>
      </w:r>
      <w:r w:rsidRPr="00295EBF">
        <w:rPr>
          <w:shd w:val="clear" w:color="auto" w:fill="FEFFFF"/>
        </w:rPr>
        <w:t xml:space="preserve"> platform at http://blackboard.unicatt.it.</w:t>
      </w:r>
    </w:p>
    <w:p w14:paraId="7A8F97BC" w14:textId="77777777" w:rsidR="00587587" w:rsidRPr="00295EBF" w:rsidRDefault="00587587" w:rsidP="00587587">
      <w:pPr>
        <w:pStyle w:val="CorpoA"/>
        <w:spacing w:before="240" w:after="120" w:line="220" w:lineRule="exact"/>
        <w:rPr>
          <w:b/>
          <w:bCs/>
          <w:i/>
          <w:iCs/>
          <w:color w:val="auto"/>
          <w:sz w:val="18"/>
          <w:szCs w:val="18"/>
          <w:shd w:val="clear" w:color="auto" w:fill="FEFFFF"/>
        </w:rPr>
      </w:pPr>
      <w:r w:rsidRPr="00295EBF">
        <w:rPr>
          <w:b/>
          <w:bCs/>
          <w:i/>
          <w:iCs/>
          <w:color w:val="auto"/>
          <w:sz w:val="18"/>
          <w:szCs w:val="18"/>
          <w:shd w:val="clear" w:color="auto" w:fill="FEFFFF"/>
        </w:rPr>
        <w:t>TEACHING METHOD</w:t>
      </w:r>
    </w:p>
    <w:p w14:paraId="71BCF79D" w14:textId="77777777" w:rsidR="00587587" w:rsidRPr="00295EBF" w:rsidRDefault="00587587" w:rsidP="00587587">
      <w:pPr>
        <w:pStyle w:val="Testo2"/>
        <w:rPr>
          <w:shd w:val="clear" w:color="auto" w:fill="FEFFFF"/>
        </w:rPr>
      </w:pPr>
      <w:r w:rsidRPr="00295EBF">
        <w:rPr>
          <w:shd w:val="clear" w:color="auto" w:fill="FEFFFF"/>
        </w:rPr>
        <w:lastRenderedPageBreak/>
        <w:t>Lectures. In addition, typical aspects of the tourist market will be approached through group work or contributions from experts of the industry.</w:t>
      </w:r>
    </w:p>
    <w:p w14:paraId="797426A9" w14:textId="77777777" w:rsidR="00587587" w:rsidRPr="00295EBF" w:rsidRDefault="00587587" w:rsidP="00587587">
      <w:pPr>
        <w:spacing w:before="240" w:after="120" w:line="220" w:lineRule="exact"/>
        <w:rPr>
          <w:b/>
          <w:i/>
          <w:sz w:val="18"/>
        </w:rPr>
      </w:pPr>
      <w:r w:rsidRPr="00295EBF">
        <w:rPr>
          <w:b/>
          <w:i/>
          <w:sz w:val="18"/>
        </w:rPr>
        <w:t>ASSESSMENT METHOD AND CRITERIA</w:t>
      </w:r>
    </w:p>
    <w:p w14:paraId="77FC1F7F" w14:textId="77777777" w:rsidR="00587587" w:rsidRPr="00295EBF" w:rsidRDefault="00587587" w:rsidP="00587587">
      <w:pPr>
        <w:pStyle w:val="Testo2"/>
        <w:rPr>
          <w:shd w:val="clear" w:color="auto" w:fill="FEFFFF"/>
        </w:rPr>
      </w:pPr>
      <w:r w:rsidRPr="00295EBF">
        <w:rPr>
          <w:shd w:val="clear" w:color="auto" w:fill="FEFFFF"/>
        </w:rPr>
        <w:t xml:space="preserve">A three-questions written exam (90 minutes). An oral exam is optional and applies to the mark of the written exam. Questions may require presenting concepts and economic theories as well as illustrating graphs and commenting on market situations. </w:t>
      </w:r>
      <w:r w:rsidRPr="00295EBF">
        <w:t>The three open questions in the written exam will be equal in weight.</w:t>
      </w:r>
    </w:p>
    <w:p w14:paraId="1E513FF4" w14:textId="77777777" w:rsidR="00587587" w:rsidRPr="00295EBF" w:rsidRDefault="00587587" w:rsidP="00587587">
      <w:pPr>
        <w:pStyle w:val="Testo2"/>
        <w:rPr>
          <w:shd w:val="clear" w:color="auto" w:fill="FEFFFF"/>
        </w:rPr>
      </w:pPr>
      <w:r w:rsidRPr="00295EBF">
        <w:rPr>
          <w:shd w:val="clear" w:color="auto" w:fill="FEFFFF"/>
        </w:rPr>
        <w:t xml:space="preserve">The primary aim of the exam is to assess students’ economic reasoning skills, basic analytical accuracy and the ability to critically analyse contents. </w:t>
      </w:r>
    </w:p>
    <w:p w14:paraId="2E0F2E03" w14:textId="77777777" w:rsidR="00587587" w:rsidRPr="00295EBF" w:rsidRDefault="00587587" w:rsidP="00587587">
      <w:pPr>
        <w:spacing w:before="240" w:after="120"/>
        <w:rPr>
          <w:b/>
          <w:i/>
          <w:sz w:val="18"/>
        </w:rPr>
      </w:pPr>
      <w:r w:rsidRPr="00295EBF">
        <w:rPr>
          <w:b/>
          <w:i/>
          <w:sz w:val="18"/>
        </w:rPr>
        <w:t>NOTES AND PREREQUISITES</w:t>
      </w:r>
    </w:p>
    <w:p w14:paraId="1764EFAD" w14:textId="77777777" w:rsidR="00587587" w:rsidRPr="00295EBF" w:rsidRDefault="00587587" w:rsidP="00587587">
      <w:pPr>
        <w:spacing w:before="120" w:line="259" w:lineRule="auto"/>
        <w:ind w:firstLine="284"/>
        <w:rPr>
          <w:rFonts w:eastAsia="Times New Roman"/>
          <w:sz w:val="18"/>
        </w:rPr>
      </w:pPr>
      <w:r w:rsidRPr="00295EBF">
        <w:rPr>
          <w:sz w:val="18"/>
        </w:rPr>
        <w:t xml:space="preserve">The course has no prerequisites in terms of content, although basic knowledge acquired in an introductory course on economic policy will help students understand the contents covered. </w:t>
      </w:r>
    </w:p>
    <w:p w14:paraId="164B775F" w14:textId="77777777" w:rsidR="00587587" w:rsidRPr="00295EBF" w:rsidRDefault="00587587" w:rsidP="00587587">
      <w:pPr>
        <w:spacing w:before="120" w:line="259" w:lineRule="auto"/>
        <w:ind w:firstLine="284"/>
        <w:rPr>
          <w:sz w:val="18"/>
          <w:szCs w:val="18"/>
        </w:rPr>
      </w:pPr>
      <w:r w:rsidRPr="00295EBF">
        <w:rPr>
          <w:sz w:val="18"/>
          <w:szCs w:val="18"/>
        </w:rPr>
        <w:t xml:space="preserve">In case the current Covid-19 health emergency does not allow frontal teaching, remote teaching will be carried out following procedures that will be promptly notified to students. </w:t>
      </w:r>
      <w:r w:rsidRPr="00295EBF">
        <w:rPr>
          <w:sz w:val="18"/>
          <w:szCs w:val="18"/>
          <w:lang w:val="en-US"/>
        </w:rPr>
        <w:t xml:space="preserve">More information on remote teaching and the assessment method are available at </w:t>
      </w:r>
      <w:r w:rsidRPr="00295EBF">
        <w:rPr>
          <w:sz w:val="18"/>
          <w:szCs w:val="18"/>
        </w:rPr>
        <w:t xml:space="preserve">e-learning platform </w:t>
      </w:r>
      <w:hyperlink r:id="rId5" w:history="1">
        <w:r w:rsidRPr="00295EBF">
          <w:rPr>
            <w:rStyle w:val="Collegamentoipertestuale"/>
            <w:sz w:val="18"/>
            <w:szCs w:val="18"/>
          </w:rPr>
          <w:t>http://blackboard.unicatt.it</w:t>
        </w:r>
      </w:hyperlink>
      <w:r w:rsidRPr="00295EBF">
        <w:rPr>
          <w:sz w:val="18"/>
          <w:szCs w:val="18"/>
        </w:rPr>
        <w:t xml:space="preserve">. </w:t>
      </w:r>
      <w:r w:rsidRPr="00295EBF">
        <w:rPr>
          <w:sz w:val="18"/>
          <w:szCs w:val="18"/>
          <w:lang w:val="en-US"/>
        </w:rPr>
        <w:t xml:space="preserve"> </w:t>
      </w:r>
    </w:p>
    <w:p w14:paraId="682F41D7" w14:textId="77777777" w:rsidR="00587587" w:rsidRPr="00295EBF" w:rsidRDefault="00587587" w:rsidP="00587587">
      <w:pPr>
        <w:pStyle w:val="Testo2"/>
        <w:spacing w:before="120"/>
      </w:pPr>
      <w:r w:rsidRPr="00295EBF">
        <w:t>Further information can be found on the lecturer's webpage at http://docenti.unicatt.it/web/searchByName.do?language=ENG or on the Faculty notice board.</w:t>
      </w:r>
    </w:p>
    <w:p w14:paraId="77FDB622" w14:textId="77777777" w:rsidR="00587587" w:rsidRPr="00295EBF" w:rsidRDefault="00587587" w:rsidP="00587587">
      <w:pPr>
        <w:pStyle w:val="Testo2"/>
      </w:pPr>
    </w:p>
    <w:p w14:paraId="2B6A835D" w14:textId="126DC803" w:rsidR="00360878" w:rsidRPr="00360878" w:rsidRDefault="00360878" w:rsidP="00587587">
      <w:pPr>
        <w:pStyle w:val="Titolo2"/>
        <w:rPr>
          <w:i/>
        </w:rPr>
      </w:pPr>
    </w:p>
    <w:sectPr w:rsidR="00360878" w:rsidRPr="00360878"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D8"/>
    <w:multiLevelType w:val="hybridMultilevel"/>
    <w:tmpl w:val="F01C156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36AA5022"/>
    <w:multiLevelType w:val="hybridMultilevel"/>
    <w:tmpl w:val="BDBC540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397A44E5"/>
    <w:multiLevelType w:val="hybridMultilevel"/>
    <w:tmpl w:val="297CDC3E"/>
    <w:lvl w:ilvl="0" w:tplc="B982228E">
      <w:start w:val="6"/>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3FBE24EB"/>
    <w:multiLevelType w:val="hybridMultilevel"/>
    <w:tmpl w:val="2B501B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EAE40BF"/>
    <w:multiLevelType w:val="hybridMultilevel"/>
    <w:tmpl w:val="F41EEB0E"/>
    <w:lvl w:ilvl="0" w:tplc="FBDCEBEA">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F9B2632"/>
    <w:multiLevelType w:val="hybridMultilevel"/>
    <w:tmpl w:val="5C30103A"/>
    <w:lvl w:ilvl="0" w:tplc="C02E443E">
      <w:start w:val="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32056987">
    <w:abstractNumId w:val="1"/>
  </w:num>
  <w:num w:numId="2" w16cid:durableId="746347383">
    <w:abstractNumId w:val="0"/>
  </w:num>
  <w:num w:numId="3" w16cid:durableId="475033988">
    <w:abstractNumId w:val="2"/>
  </w:num>
  <w:num w:numId="4" w16cid:durableId="20668540">
    <w:abstractNumId w:val="4"/>
  </w:num>
  <w:num w:numId="5" w16cid:durableId="62681065">
    <w:abstractNumId w:val="5"/>
  </w:num>
  <w:num w:numId="6" w16cid:durableId="1120926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E1"/>
    <w:rsid w:val="000230B9"/>
    <w:rsid w:val="00033262"/>
    <w:rsid w:val="00033CB5"/>
    <w:rsid w:val="00036C44"/>
    <w:rsid w:val="0004073D"/>
    <w:rsid w:val="000425CC"/>
    <w:rsid w:val="000537C6"/>
    <w:rsid w:val="000547BF"/>
    <w:rsid w:val="00062FC3"/>
    <w:rsid w:val="00064053"/>
    <w:rsid w:val="0007490D"/>
    <w:rsid w:val="00086DB1"/>
    <w:rsid w:val="000A3FC1"/>
    <w:rsid w:val="000D45E1"/>
    <w:rsid w:val="001008FC"/>
    <w:rsid w:val="00130FE2"/>
    <w:rsid w:val="00156349"/>
    <w:rsid w:val="00161587"/>
    <w:rsid w:val="00165712"/>
    <w:rsid w:val="00170757"/>
    <w:rsid w:val="00170BC8"/>
    <w:rsid w:val="00175361"/>
    <w:rsid w:val="00186DB1"/>
    <w:rsid w:val="00186FD0"/>
    <w:rsid w:val="001B3557"/>
    <w:rsid w:val="001C78A3"/>
    <w:rsid w:val="001E78D8"/>
    <w:rsid w:val="001F5CBD"/>
    <w:rsid w:val="001F7542"/>
    <w:rsid w:val="00200F19"/>
    <w:rsid w:val="00261964"/>
    <w:rsid w:val="0026422D"/>
    <w:rsid w:val="00266450"/>
    <w:rsid w:val="002755A0"/>
    <w:rsid w:val="00283BFD"/>
    <w:rsid w:val="002B7777"/>
    <w:rsid w:val="002C1ED7"/>
    <w:rsid w:val="002C443C"/>
    <w:rsid w:val="002F0BF6"/>
    <w:rsid w:val="00323EF7"/>
    <w:rsid w:val="00356FE9"/>
    <w:rsid w:val="00360878"/>
    <w:rsid w:val="00382B04"/>
    <w:rsid w:val="00385339"/>
    <w:rsid w:val="0039449E"/>
    <w:rsid w:val="00397052"/>
    <w:rsid w:val="003B0464"/>
    <w:rsid w:val="003B072B"/>
    <w:rsid w:val="003C7035"/>
    <w:rsid w:val="003D1007"/>
    <w:rsid w:val="003D103C"/>
    <w:rsid w:val="003E644D"/>
    <w:rsid w:val="004164BF"/>
    <w:rsid w:val="00444FE5"/>
    <w:rsid w:val="00473888"/>
    <w:rsid w:val="004857E3"/>
    <w:rsid w:val="004B2EFD"/>
    <w:rsid w:val="004C3918"/>
    <w:rsid w:val="004C572A"/>
    <w:rsid w:val="004D1217"/>
    <w:rsid w:val="004D6008"/>
    <w:rsid w:val="004D73F8"/>
    <w:rsid w:val="004D7D93"/>
    <w:rsid w:val="0053280C"/>
    <w:rsid w:val="005364C3"/>
    <w:rsid w:val="00537DAE"/>
    <w:rsid w:val="00564A2B"/>
    <w:rsid w:val="005759A3"/>
    <w:rsid w:val="00584D2D"/>
    <w:rsid w:val="00587451"/>
    <w:rsid w:val="00587587"/>
    <w:rsid w:val="005A031A"/>
    <w:rsid w:val="005B4397"/>
    <w:rsid w:val="005C7EE2"/>
    <w:rsid w:val="005E165E"/>
    <w:rsid w:val="00607742"/>
    <w:rsid w:val="00640CF1"/>
    <w:rsid w:val="00647FEE"/>
    <w:rsid w:val="006560F2"/>
    <w:rsid w:val="006C043E"/>
    <w:rsid w:val="006D5628"/>
    <w:rsid w:val="006E00BA"/>
    <w:rsid w:val="006F1772"/>
    <w:rsid w:val="006F5655"/>
    <w:rsid w:val="007059E9"/>
    <w:rsid w:val="007234BF"/>
    <w:rsid w:val="007274BD"/>
    <w:rsid w:val="00753BD2"/>
    <w:rsid w:val="00781B0B"/>
    <w:rsid w:val="00790366"/>
    <w:rsid w:val="007A74D0"/>
    <w:rsid w:val="007B167F"/>
    <w:rsid w:val="007C69DF"/>
    <w:rsid w:val="007D360F"/>
    <w:rsid w:val="007F52E0"/>
    <w:rsid w:val="00811C30"/>
    <w:rsid w:val="0084043D"/>
    <w:rsid w:val="0086010A"/>
    <w:rsid w:val="00865443"/>
    <w:rsid w:val="00871179"/>
    <w:rsid w:val="00883202"/>
    <w:rsid w:val="00884F75"/>
    <w:rsid w:val="008854C7"/>
    <w:rsid w:val="0088764B"/>
    <w:rsid w:val="00894C2F"/>
    <w:rsid w:val="008E5456"/>
    <w:rsid w:val="008F1458"/>
    <w:rsid w:val="008F3F53"/>
    <w:rsid w:val="00900EB0"/>
    <w:rsid w:val="00910727"/>
    <w:rsid w:val="00927FD6"/>
    <w:rsid w:val="00940DA2"/>
    <w:rsid w:val="00943B85"/>
    <w:rsid w:val="009455DA"/>
    <w:rsid w:val="009557AE"/>
    <w:rsid w:val="00977C5F"/>
    <w:rsid w:val="00985BC1"/>
    <w:rsid w:val="00987AF3"/>
    <w:rsid w:val="009A7D7D"/>
    <w:rsid w:val="00A24D6B"/>
    <w:rsid w:val="00A30BF1"/>
    <w:rsid w:val="00A327BC"/>
    <w:rsid w:val="00A37F9D"/>
    <w:rsid w:val="00A63D82"/>
    <w:rsid w:val="00A74231"/>
    <w:rsid w:val="00A84C7F"/>
    <w:rsid w:val="00A85F15"/>
    <w:rsid w:val="00A879DA"/>
    <w:rsid w:val="00A941FC"/>
    <w:rsid w:val="00AA1028"/>
    <w:rsid w:val="00AA1D80"/>
    <w:rsid w:val="00AA3289"/>
    <w:rsid w:val="00AB12C4"/>
    <w:rsid w:val="00AB2BBA"/>
    <w:rsid w:val="00AC6DE0"/>
    <w:rsid w:val="00AD1B96"/>
    <w:rsid w:val="00AE689A"/>
    <w:rsid w:val="00AF0F1A"/>
    <w:rsid w:val="00B0717D"/>
    <w:rsid w:val="00B241EA"/>
    <w:rsid w:val="00B52996"/>
    <w:rsid w:val="00B913DB"/>
    <w:rsid w:val="00B91E8E"/>
    <w:rsid w:val="00BA7B94"/>
    <w:rsid w:val="00BB4944"/>
    <w:rsid w:val="00BC5D30"/>
    <w:rsid w:val="00BE72DA"/>
    <w:rsid w:val="00C62BEC"/>
    <w:rsid w:val="00C75089"/>
    <w:rsid w:val="00C77371"/>
    <w:rsid w:val="00CB054C"/>
    <w:rsid w:val="00CC00F2"/>
    <w:rsid w:val="00D373D3"/>
    <w:rsid w:val="00D41B37"/>
    <w:rsid w:val="00D4771E"/>
    <w:rsid w:val="00D5012A"/>
    <w:rsid w:val="00D63FA9"/>
    <w:rsid w:val="00D67053"/>
    <w:rsid w:val="00D74878"/>
    <w:rsid w:val="00D76D81"/>
    <w:rsid w:val="00DA39A1"/>
    <w:rsid w:val="00DD7991"/>
    <w:rsid w:val="00DF1210"/>
    <w:rsid w:val="00DF6862"/>
    <w:rsid w:val="00E11E21"/>
    <w:rsid w:val="00E150D5"/>
    <w:rsid w:val="00E17130"/>
    <w:rsid w:val="00E2255C"/>
    <w:rsid w:val="00E310AB"/>
    <w:rsid w:val="00E35E7C"/>
    <w:rsid w:val="00E47ECA"/>
    <w:rsid w:val="00E70388"/>
    <w:rsid w:val="00E7330E"/>
    <w:rsid w:val="00E801B3"/>
    <w:rsid w:val="00E83C6C"/>
    <w:rsid w:val="00E83CBF"/>
    <w:rsid w:val="00E856DA"/>
    <w:rsid w:val="00EB3014"/>
    <w:rsid w:val="00EC1682"/>
    <w:rsid w:val="00EC6678"/>
    <w:rsid w:val="00ED21C0"/>
    <w:rsid w:val="00F007EE"/>
    <w:rsid w:val="00F01532"/>
    <w:rsid w:val="00F053D1"/>
    <w:rsid w:val="00F1115C"/>
    <w:rsid w:val="00F13A2D"/>
    <w:rsid w:val="00F172CD"/>
    <w:rsid w:val="00F91EEA"/>
    <w:rsid w:val="00FB08CD"/>
    <w:rsid w:val="00FB40B5"/>
    <w:rsid w:val="00FC460B"/>
    <w:rsid w:val="00FF59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31044"/>
  <w15:docId w15:val="{C4BD96D4-1973-4037-A180-0A7B3C07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10727"/>
    <w:pPr>
      <w:spacing w:line="276" w:lineRule="auto"/>
      <w:jc w:val="both"/>
    </w:pPr>
    <w:rPr>
      <w:rFonts w:eastAsia="Calibri"/>
      <w:szCs w:val="22"/>
      <w:lang w:eastAsia="en-US"/>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0D45E1"/>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Titolo2Carattere">
    <w:name w:val="Titolo 2 Carattere"/>
    <w:link w:val="Titolo2"/>
    <w:rsid w:val="000D45E1"/>
    <w:rPr>
      <w:rFonts w:ascii="Times" w:hAnsi="Times"/>
      <w:smallCaps/>
      <w:noProof/>
      <w:sz w:val="18"/>
    </w:rPr>
  </w:style>
  <w:style w:type="paragraph" w:styleId="Paragrafoelenco">
    <w:name w:val="List Paragraph"/>
    <w:basedOn w:val="Normale"/>
    <w:uiPriority w:val="34"/>
    <w:qFormat/>
    <w:rsid w:val="000D45E1"/>
    <w:pPr>
      <w:ind w:left="720"/>
      <w:contextualSpacing/>
    </w:pPr>
  </w:style>
  <w:style w:type="character" w:customStyle="1" w:styleId="Testo2Carattere">
    <w:name w:val="Testo 2 Carattere"/>
    <w:link w:val="Testo2"/>
    <w:locked/>
    <w:rsid w:val="00FC460B"/>
    <w:rPr>
      <w:rFonts w:ascii="Times" w:hAnsi="Times"/>
      <w:noProof/>
      <w:sz w:val="18"/>
    </w:rPr>
  </w:style>
  <w:style w:type="character" w:styleId="Collegamentoipertestuale">
    <w:name w:val="Hyperlink"/>
    <w:rsid w:val="00587587"/>
    <w:rPr>
      <w:u w:val="single"/>
    </w:rPr>
  </w:style>
  <w:style w:type="paragraph" w:styleId="Intestazione">
    <w:name w:val="header"/>
    <w:next w:val="Intestazione2"/>
    <w:link w:val="IntestazioneCarattere"/>
    <w:rsid w:val="00587587"/>
    <w:pPr>
      <w:pBdr>
        <w:top w:val="nil"/>
        <w:left w:val="nil"/>
        <w:bottom w:val="nil"/>
        <w:right w:val="nil"/>
        <w:between w:val="nil"/>
        <w:bar w:val="nil"/>
      </w:pBdr>
      <w:tabs>
        <w:tab w:val="left" w:pos="284"/>
      </w:tabs>
      <w:spacing w:before="480" w:line="240" w:lineRule="exact"/>
      <w:jc w:val="both"/>
      <w:outlineLvl w:val="0"/>
    </w:pPr>
    <w:rPr>
      <w:rFonts w:ascii="Times" w:eastAsia="Arial Unicode MS" w:hAnsi="Times" w:cs="Arial Unicode MS"/>
      <w:b/>
      <w:bCs/>
      <w:color w:val="000000"/>
      <w:u w:color="000000"/>
      <w:bdr w:val="nil"/>
    </w:rPr>
  </w:style>
  <w:style w:type="character" w:customStyle="1" w:styleId="IntestazioneCarattere">
    <w:name w:val="Intestazione Carattere"/>
    <w:basedOn w:val="Carpredefinitoparagrafo"/>
    <w:link w:val="Intestazione"/>
    <w:rsid w:val="00587587"/>
    <w:rPr>
      <w:rFonts w:ascii="Times" w:eastAsia="Arial Unicode MS" w:hAnsi="Times" w:cs="Arial Unicode MS"/>
      <w:b/>
      <w:bCs/>
      <w:color w:val="000000"/>
      <w:u w:color="000000"/>
      <w:bdr w:val="nil"/>
    </w:rPr>
  </w:style>
  <w:style w:type="paragraph" w:customStyle="1" w:styleId="Intestazione2">
    <w:name w:val="Intestazione 2"/>
    <w:next w:val="Normale"/>
    <w:rsid w:val="00587587"/>
    <w:pPr>
      <w:pBdr>
        <w:top w:val="nil"/>
        <w:left w:val="nil"/>
        <w:bottom w:val="nil"/>
        <w:right w:val="nil"/>
        <w:between w:val="nil"/>
        <w:bar w:val="nil"/>
      </w:pBdr>
      <w:tabs>
        <w:tab w:val="left" w:pos="284"/>
      </w:tabs>
      <w:spacing w:line="240" w:lineRule="exact"/>
      <w:jc w:val="both"/>
      <w:outlineLvl w:val="1"/>
    </w:pPr>
    <w:rPr>
      <w:rFonts w:ascii="Times" w:eastAsia="Arial Unicode MS" w:hAnsi="Times" w:cs="Arial Unicode MS"/>
      <w:smallCaps/>
      <w:color w:val="000000"/>
      <w:sz w:val="18"/>
      <w:szCs w:val="18"/>
      <w:u w:color="000000"/>
      <w:bdr w:val="nil"/>
    </w:rPr>
  </w:style>
  <w:style w:type="paragraph" w:customStyle="1" w:styleId="CorpoA">
    <w:name w:val="Corpo A"/>
    <w:rsid w:val="00587587"/>
    <w:pPr>
      <w:pBdr>
        <w:top w:val="nil"/>
        <w:left w:val="nil"/>
        <w:bottom w:val="nil"/>
        <w:right w:val="nil"/>
        <w:between w:val="nil"/>
        <w:bar w:val="nil"/>
      </w:pBdr>
      <w:tabs>
        <w:tab w:val="left" w:pos="284"/>
      </w:tabs>
      <w:spacing w:line="240" w:lineRule="exact"/>
      <w:jc w:val="both"/>
    </w:pPr>
    <w:rPr>
      <w:rFonts w:ascii="Times" w:eastAsia="Arial Unicode MS" w:hAnsi="Times" w:cs="Arial Unicode MS"/>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ackboard.unicatt.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2</TotalTime>
  <Pages>2</Pages>
  <Words>414</Words>
  <Characters>2569</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Bisello Stefano</cp:lastModifiedBy>
  <cp:revision>3</cp:revision>
  <cp:lastPrinted>2003-03-27T09:42:00Z</cp:lastPrinted>
  <dcterms:created xsi:type="dcterms:W3CDTF">2022-06-30T08:58:00Z</dcterms:created>
  <dcterms:modified xsi:type="dcterms:W3CDTF">2023-02-16T14:48:00Z</dcterms:modified>
</cp:coreProperties>
</file>