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Pr="00A05B37" w:rsidRDefault="00A05B37" w:rsidP="002D5E17">
      <w:pPr>
        <w:pStyle w:val="Titolo1"/>
        <w:rPr>
          <w:lang w:val="en-US"/>
        </w:rPr>
      </w:pPr>
      <w:r w:rsidRPr="00A05B37">
        <w:rPr>
          <w:lang w:val="en-US"/>
        </w:rPr>
        <w:t>Accounting for investor relations</w:t>
      </w:r>
    </w:p>
    <w:p w:rsidR="00A05B37" w:rsidRDefault="00A05B37" w:rsidP="00A05B37">
      <w:pPr>
        <w:pStyle w:val="Titolo2"/>
      </w:pPr>
      <w:r>
        <w:rPr>
          <w:lang w:val="en-US"/>
        </w:rPr>
        <w:t xml:space="preserve">Prof. </w:t>
      </w:r>
      <w:r w:rsidRPr="00A05B37">
        <w:t xml:space="preserve">Andrea Lionzo; Prof. Piero Muanri; prof. </w:t>
      </w:r>
      <w:r>
        <w:t>Elisabetta Cugnasca</w:t>
      </w:r>
    </w:p>
    <w:p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A05B37" w:rsidRDefault="00A05B37" w:rsidP="00A05B37">
      <w:pPr>
        <w:rPr>
          <w:lang w:val="en-GB"/>
        </w:rPr>
      </w:pPr>
      <w:r w:rsidRPr="00D66042">
        <w:rPr>
          <w:lang w:val="en-GB"/>
        </w:rPr>
        <w:t xml:space="preserve">The course provides students with an in-depth understanding of how accounting and other </w:t>
      </w:r>
      <w:r>
        <w:rPr>
          <w:lang w:val="en-GB"/>
        </w:rPr>
        <w:t xml:space="preserve">financial and non-financial </w:t>
      </w:r>
      <w:r w:rsidRPr="00D66042">
        <w:rPr>
          <w:lang w:val="en-GB"/>
        </w:rPr>
        <w:t xml:space="preserve">information needed to assess a company's health is created and </w:t>
      </w:r>
      <w:r>
        <w:rPr>
          <w:lang w:val="en-GB"/>
        </w:rPr>
        <w:t xml:space="preserve">communicated </w:t>
      </w:r>
      <w:r w:rsidRPr="00D66042">
        <w:rPr>
          <w:lang w:val="en-GB"/>
        </w:rPr>
        <w:t>by a company's management</w:t>
      </w:r>
      <w:r>
        <w:rPr>
          <w:lang w:val="en-GB"/>
        </w:rPr>
        <w:t>, examining</w:t>
      </w:r>
      <w:r w:rsidRPr="00D66042">
        <w:rPr>
          <w:lang w:val="en-GB"/>
        </w:rPr>
        <w:t xml:space="preserve"> how critical management decisions affect the final interpretation of such information by external users such as investors, analysts and financial media.</w:t>
      </w:r>
      <w:r>
        <w:rPr>
          <w:lang w:val="en-GB"/>
        </w:rPr>
        <w:t xml:space="preserve"> 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Students 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reading of the financial statements prepared in accordance with international accounting standards;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Pr="00D43A8F">
        <w:rPr>
          <w:lang w:val="en-GB"/>
        </w:rPr>
        <w:t>understanding of the most relevant areas of e</w:t>
      </w:r>
      <w:r>
        <w:rPr>
          <w:lang w:val="en-GB"/>
        </w:rPr>
        <w:t>a</w:t>
      </w:r>
      <w:r w:rsidRPr="00D43A8F">
        <w:rPr>
          <w:lang w:val="en-GB"/>
        </w:rPr>
        <w:t>rnings management</w:t>
      </w:r>
      <w:r>
        <w:rPr>
          <w:lang w:val="en-GB"/>
        </w:rPr>
        <w:t xml:space="preserve"> (provisions, impairment test, fair value measurement, business combinations, group accounts);</w:t>
      </w:r>
      <w:r w:rsidRPr="00D43A8F">
        <w:rPr>
          <w:lang w:val="en-GB"/>
        </w:rPr>
        <w:t xml:space="preserve">   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knowledge of the most used non-GAAP measures (EBIT, EBITDA, PFN, NIC); </w:t>
      </w:r>
    </w:p>
    <w:p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adoption of business evaluation </w:t>
      </w:r>
      <w:r w:rsidRPr="00D43A8F">
        <w:rPr>
          <w:lang w:val="en-GB"/>
        </w:rPr>
        <w:t>techniques</w:t>
      </w:r>
      <w:r>
        <w:rPr>
          <w:lang w:val="en-GB"/>
        </w:rPr>
        <w:t xml:space="preserve"> (DCF, multiples of comparable entities) used in financial communication (</w:t>
      </w:r>
      <w:r w:rsidRPr="009E70C7">
        <w:rPr>
          <w:lang w:val="en-GB"/>
        </w:rPr>
        <w:t>earnings guidance, e</w:t>
      </w:r>
      <w:r>
        <w:rPr>
          <w:lang w:val="en-GB"/>
        </w:rPr>
        <w:t>quity research, press releases, road shows);</w:t>
      </w:r>
    </w:p>
    <w:p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 xml:space="preserve">Financial </w:t>
      </w:r>
      <w:r>
        <w:rPr>
          <w:i/>
          <w:lang w:val="en-GB"/>
        </w:rPr>
        <w:t>Reporting</w:t>
      </w:r>
      <w:r w:rsidRPr="009F7028">
        <w:rPr>
          <w:i/>
          <w:lang w:val="en-GB"/>
        </w:rPr>
        <w:t>: general theory</w:t>
      </w:r>
      <w:r>
        <w:rPr>
          <w:i/>
          <w:lang w:val="en-GB"/>
        </w:rPr>
        <w:t xml:space="preserve"> and content</w:t>
      </w:r>
      <w:r w:rsidRPr="009F7028">
        <w:rPr>
          <w:i/>
          <w:lang w:val="en-GB"/>
        </w:rPr>
        <w:t>.</w:t>
      </w:r>
    </w:p>
    <w:p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Balance sheet, </w:t>
      </w:r>
      <w:r>
        <w:rPr>
          <w:lang w:val="en-GB"/>
        </w:rPr>
        <w:t xml:space="preserve">Income statement and </w:t>
      </w:r>
      <w:r w:rsidRPr="009F7028">
        <w:rPr>
          <w:lang w:val="en-GB"/>
        </w:rPr>
        <w:t>cash flow statement outlines.</w:t>
      </w:r>
    </w:p>
    <w:p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Earnings management in financial statements</w:t>
      </w:r>
      <w:r w:rsidRPr="009F7028">
        <w:rPr>
          <w:lang w:val="en-GB"/>
        </w:rPr>
        <w:t>.</w:t>
      </w:r>
    </w:p>
    <w:p w:rsidR="00A05B37" w:rsidRPr="00D9565D" w:rsidRDefault="00A05B37" w:rsidP="00A05B37">
      <w:pPr>
        <w:spacing w:before="120"/>
        <w:rPr>
          <w:lang w:val="en-GB"/>
        </w:rPr>
      </w:pPr>
      <w:r w:rsidRPr="00D9565D">
        <w:rPr>
          <w:lang w:val="en-GB"/>
        </w:rPr>
        <w:t>2.</w:t>
      </w:r>
      <w:r w:rsidRPr="00D9565D">
        <w:rPr>
          <w:lang w:val="en-GB"/>
        </w:rPr>
        <w:tab/>
      </w:r>
      <w:r w:rsidRPr="00D9565D">
        <w:rPr>
          <w:i/>
          <w:iCs/>
          <w:lang w:val="en-GB"/>
        </w:rPr>
        <w:t>From Financial Reporting to Business Valuations</w:t>
      </w:r>
      <w:r w:rsidRPr="00D9565D">
        <w:rPr>
          <w:lang w:val="en-GB"/>
        </w:rPr>
        <w:t>.</w:t>
      </w:r>
    </w:p>
    <w:p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Non-GAAP measures and alternative performance measures.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From accounting performance to value creation performance. </w:t>
      </w:r>
    </w:p>
    <w:p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Business evaluation techniques (DCF and multiples).</w:t>
      </w:r>
    </w:p>
    <w:p w:rsidR="00A05B37" w:rsidRPr="00D9565D" w:rsidRDefault="00A05B37" w:rsidP="00A05B37">
      <w:pPr>
        <w:pStyle w:val="Paragrafoelenco"/>
        <w:numPr>
          <w:ilvl w:val="0"/>
          <w:numId w:val="2"/>
        </w:numPr>
        <w:tabs>
          <w:tab w:val="left" w:pos="284"/>
        </w:tabs>
        <w:spacing w:before="120" w:line="240" w:lineRule="exact"/>
        <w:ind w:left="284" w:right="-680" w:hanging="284"/>
        <w:rPr>
          <w:lang w:val="en-GB"/>
        </w:rPr>
      </w:pPr>
      <w:r w:rsidRPr="00D9565D">
        <w:rPr>
          <w:i/>
          <w:iCs/>
          <w:lang w:val="en-GB"/>
        </w:rPr>
        <w:t>Investor Relations in action</w:t>
      </w:r>
    </w:p>
    <w:p w:rsidR="00A05B37" w:rsidRPr="00D9565D" w:rsidRDefault="00A05B37" w:rsidP="00A05B37">
      <w:pPr>
        <w:ind w:right="-680"/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 xml:space="preserve">What is Financial Communications 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Instruments of Financial Communication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IR in ordinary and extraordinary activities 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The role of the IR unit in global Financial Institutions</w:t>
      </w:r>
    </w:p>
    <w:p w:rsidR="00A05B37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A05B37">
        <w:rPr>
          <w:b/>
          <w:i/>
          <w:sz w:val="18"/>
          <w:lang w:val="en-US"/>
        </w:rPr>
        <w:t>READING LIST</w:t>
      </w:r>
    </w:p>
    <w:p w:rsidR="00A05B37" w:rsidRPr="00BB78C1" w:rsidRDefault="00A05B37" w:rsidP="00A05B37">
      <w:pPr>
        <w:pStyle w:val="Testo1"/>
        <w:spacing w:before="0"/>
        <w:rPr>
          <w:lang w:val="en-GB"/>
        </w:rPr>
      </w:pPr>
      <w:r w:rsidRPr="00BB78C1">
        <w:rPr>
          <w:lang w:val="en-GB"/>
        </w:rPr>
        <w:lastRenderedPageBreak/>
        <w:t xml:space="preserve">A. V. </w:t>
      </w:r>
      <w:proofErr w:type="spellStart"/>
      <w:r w:rsidRPr="00BB78C1">
        <w:rPr>
          <w:lang w:val="en-GB"/>
        </w:rPr>
        <w:t>Laskin</w:t>
      </w:r>
      <w:proofErr w:type="spellEnd"/>
      <w:r w:rsidRPr="00BB78C1">
        <w:rPr>
          <w:lang w:val="en-GB"/>
        </w:rPr>
        <w:t xml:space="preserve"> (Editor), The Handbook of Financial Communication and Investor Relations</w:t>
      </w:r>
      <w:r>
        <w:rPr>
          <w:lang w:val="en-GB"/>
        </w:rPr>
        <w:t>, Wiley, 2017.</w:t>
      </w:r>
      <w:r w:rsidRPr="00BB78C1">
        <w:rPr>
          <w:lang w:val="en-GB"/>
        </w:rPr>
        <w:t xml:space="preserve"> </w:t>
      </w:r>
    </w:p>
    <w:p w:rsidR="00A05B37" w:rsidRPr="009F7028" w:rsidRDefault="00A05B37" w:rsidP="00A05B37">
      <w:pPr>
        <w:pStyle w:val="Testo1"/>
        <w:spacing w:before="0"/>
        <w:rPr>
          <w:lang w:val="en-GB"/>
        </w:rPr>
      </w:pPr>
      <w:r w:rsidRPr="009F7028">
        <w:rPr>
          <w:lang w:val="en-GB"/>
        </w:rPr>
        <w:t xml:space="preserve">The exam preparation will be supplemented with the material made available to students through the Blackboard platform (lesson slides and other documentation). </w:t>
      </w:r>
    </w:p>
    <w:p w:rsidR="00A05B37" w:rsidRPr="00A05B37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Lessons and practical exercises are carried out with the aid of slides and other supporting material. The slides are made available to students through the Blackboard platform before each lesson.</w:t>
      </w:r>
    </w:p>
    <w:p w:rsidR="00A05B37" w:rsidRPr="00205C39" w:rsidRDefault="00A05B37" w:rsidP="00A05B37">
      <w:pPr>
        <w:pStyle w:val="Testo2"/>
        <w:rPr>
          <w:lang w:val="en-GB"/>
        </w:rPr>
      </w:pPr>
      <w:r w:rsidRPr="00205C39">
        <w:rPr>
          <w:lang w:val="en-GB"/>
        </w:rPr>
        <w:t>Regular class attendance and completion of the assignments are considered essential for enabling the student to pass the course.</w:t>
      </w:r>
    </w:p>
    <w:p w:rsidR="00A05B37" w:rsidRPr="00205C39" w:rsidRDefault="00A05B37" w:rsidP="00A05B37">
      <w:pPr>
        <w:spacing w:before="240" w:after="120" w:line="220" w:lineRule="exact"/>
        <w:rPr>
          <w:b/>
          <w:i/>
          <w:sz w:val="18"/>
          <w:lang w:val="en-GB"/>
        </w:rPr>
      </w:pPr>
      <w:r w:rsidRPr="00205C39">
        <w:rPr>
          <w:b/>
          <w:i/>
          <w:sz w:val="18"/>
          <w:lang w:val="en-GB"/>
        </w:rPr>
        <w:t>ASSESSMENT METHOD AND CRITERIA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 xml:space="preserve">The exam is written and includes three questions. The first question (the passing of which is a necessary condition for the correction of the other two), consists of an exercise </w:t>
      </w:r>
      <w:r>
        <w:rPr>
          <w:rFonts w:ascii="Times" w:hAnsi="Times"/>
          <w:sz w:val="18"/>
          <w:lang w:val="en-GB"/>
        </w:rPr>
        <w:t xml:space="preserve">related to </w:t>
      </w:r>
      <w:r w:rsidRPr="00205C39">
        <w:rPr>
          <w:rFonts w:ascii="Times" w:hAnsi="Times"/>
          <w:sz w:val="18"/>
          <w:lang w:val="en-GB"/>
        </w:rPr>
        <w:t>point</w:t>
      </w:r>
      <w:r>
        <w:rPr>
          <w:rFonts w:ascii="Times" w:hAnsi="Times"/>
          <w:sz w:val="18"/>
          <w:lang w:val="en-GB"/>
        </w:rPr>
        <w:t>s</w:t>
      </w:r>
      <w:r w:rsidRPr="00205C39">
        <w:rPr>
          <w:rFonts w:ascii="Times" w:hAnsi="Times"/>
          <w:sz w:val="18"/>
          <w:lang w:val="en-GB"/>
        </w:rPr>
        <w:t xml:space="preserve"> 2 </w:t>
      </w:r>
      <w:r>
        <w:rPr>
          <w:rFonts w:ascii="Times" w:hAnsi="Times"/>
          <w:sz w:val="18"/>
          <w:lang w:val="en-GB"/>
        </w:rPr>
        <w:t xml:space="preserve">and 3 </w:t>
      </w:r>
      <w:r w:rsidRPr="00205C39">
        <w:rPr>
          <w:rFonts w:ascii="Times" w:hAnsi="Times"/>
          <w:sz w:val="18"/>
          <w:lang w:val="en-GB"/>
        </w:rPr>
        <w:t xml:space="preserve">of the course contents. The other two questions are aimed at verifying the level of knowledge acquired on both general and applicative aspects relating to </w:t>
      </w:r>
      <w:r>
        <w:rPr>
          <w:rFonts w:ascii="Times" w:hAnsi="Times"/>
          <w:sz w:val="18"/>
          <w:lang w:val="en-GB"/>
        </w:rPr>
        <w:t xml:space="preserve">all the </w:t>
      </w:r>
      <w:r w:rsidRPr="00205C39">
        <w:rPr>
          <w:rFonts w:ascii="Times" w:hAnsi="Times"/>
          <w:sz w:val="18"/>
          <w:lang w:val="en-GB"/>
        </w:rPr>
        <w:t xml:space="preserve">course contents. 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Students pass the test if they achieve, in any case, a score of at least 18/30 in each of the 3 questions.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The oral exam can be: a) requested by students who have passed the final written test, in case they believe that their preparation does not correspond to the test outcomes; b) requested by the lecturers.</w:t>
      </w:r>
    </w:p>
    <w:p w:rsidR="00A05B37" w:rsidRPr="004D2A42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4D2A42">
        <w:rPr>
          <w:b/>
          <w:i/>
          <w:sz w:val="18"/>
          <w:lang w:val="en-GB"/>
        </w:rPr>
        <w:t>NOTES AND PREREQUISITES</w:t>
      </w:r>
    </w:p>
    <w:p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>Access to the course does not require specific knowledge</w:t>
      </w:r>
      <w:r>
        <w:rPr>
          <w:lang w:val="en-US"/>
        </w:rPr>
        <w:t>.</w:t>
      </w:r>
    </w:p>
    <w:p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 xml:space="preserve"> </w:t>
      </w:r>
      <w:r w:rsidRPr="00761C49">
        <w:rPr>
          <w:lang w:val="en-US"/>
        </w:rPr>
        <w:t xml:space="preserve">In the event that the health situation relating to the Covid-19 pandemic does not permit classroom teaching in attendance, distance learning will be guaranteed in a </w:t>
      </w:r>
      <w:r>
        <w:rPr>
          <w:lang w:val="en-US"/>
        </w:rPr>
        <w:t xml:space="preserve">way </w:t>
      </w:r>
      <w:r w:rsidRPr="00761C49">
        <w:rPr>
          <w:lang w:val="en-US"/>
        </w:rPr>
        <w:t xml:space="preserve">that will be communicated to students. In this circumstance, the </w:t>
      </w:r>
      <w:r>
        <w:rPr>
          <w:lang w:val="en-US"/>
        </w:rPr>
        <w:t xml:space="preserve">assessment methods </w:t>
      </w:r>
      <w:r w:rsidRPr="00761C49">
        <w:rPr>
          <w:lang w:val="en-US"/>
        </w:rPr>
        <w:t xml:space="preserve">could be updated for </w:t>
      </w:r>
      <w:r>
        <w:rPr>
          <w:lang w:val="en-US"/>
        </w:rPr>
        <w:t xml:space="preserve">an </w:t>
      </w:r>
      <w:r w:rsidRPr="00761C49">
        <w:rPr>
          <w:lang w:val="en-US"/>
        </w:rPr>
        <w:t xml:space="preserve">adequate and correct distance </w:t>
      </w:r>
      <w:r>
        <w:rPr>
          <w:lang w:val="en-US"/>
        </w:rPr>
        <w:t>assessment</w:t>
      </w:r>
      <w:r w:rsidRPr="00761C49">
        <w:rPr>
          <w:lang w:val="en-US"/>
        </w:rPr>
        <w:t>.</w:t>
      </w:r>
    </w:p>
    <w:p w:rsidR="00A05B37" w:rsidRPr="00D9565D" w:rsidRDefault="00A05B37" w:rsidP="00A05B37">
      <w:pPr>
        <w:pStyle w:val="Testo2"/>
        <w:rPr>
          <w:lang w:val="en-US"/>
        </w:rPr>
      </w:pPr>
      <w:r w:rsidRPr="00D9565D">
        <w:rPr>
          <w:lang w:val="en-US"/>
        </w:rPr>
        <w:t>Further information can be found on the lecturer's webpage or on the Faculty notice board.</w:t>
      </w:r>
    </w:p>
    <w:p w:rsidR="00A05B37" w:rsidRPr="00A05B37" w:rsidRDefault="00A05B37" w:rsidP="00A05B37">
      <w:pPr>
        <w:pStyle w:val="Testo2"/>
        <w:spacing w:before="120"/>
        <w:rPr>
          <w:i/>
          <w:szCs w:val="24"/>
          <w:lang w:val="en-US"/>
        </w:rPr>
      </w:pPr>
      <w:r w:rsidRPr="00A05B37">
        <w:rPr>
          <w:i/>
          <w:szCs w:val="24"/>
          <w:lang w:val="en-US"/>
        </w:rPr>
        <w:t>Office hour</w:t>
      </w:r>
    </w:p>
    <w:p w:rsidR="00A05B37" w:rsidRPr="006E5BB8" w:rsidRDefault="00A05B37" w:rsidP="00A05B37">
      <w:pPr>
        <w:pStyle w:val="Testo2"/>
        <w:rPr>
          <w:lang w:val="en-GB"/>
        </w:rPr>
      </w:pPr>
      <w:r w:rsidRPr="00761C49">
        <w:rPr>
          <w:lang w:val="en-US"/>
        </w:rPr>
        <w:t>Timetab</w:t>
      </w:r>
      <w:bookmarkStart w:id="0" w:name="_GoBack"/>
      <w:bookmarkEnd w:id="0"/>
      <w:r w:rsidRPr="00761C49">
        <w:rPr>
          <w:lang w:val="en-US"/>
        </w:rPr>
        <w:t>les and place of reception are communicated on the teachers' web page.</w:t>
      </w:r>
    </w:p>
    <w:sectPr w:rsidR="00A05B37" w:rsidRPr="006E5B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052"/>
    <w:multiLevelType w:val="hybridMultilevel"/>
    <w:tmpl w:val="437A1AD2"/>
    <w:lvl w:ilvl="0" w:tplc="D41CAD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95"/>
    <w:rsid w:val="000D7E95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05B37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E6EA"/>
  <w15:chartTrackingRefBased/>
  <w15:docId w15:val="{7F88D27E-3A96-4E91-AD91-2BFC38E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9D74-699E-4305-A2F0-AC2A9786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538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2021-05-26T06:58:00Z</dcterms:created>
  <dcterms:modified xsi:type="dcterms:W3CDTF">2021-05-26T07:05:00Z</dcterms:modified>
</cp:coreProperties>
</file>