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8048" w14:textId="5D4073FE" w:rsidR="00CE51D8" w:rsidRPr="009A2994" w:rsidRDefault="009A2994" w:rsidP="00CE51D8">
      <w:pPr>
        <w:pStyle w:val="Titolo1"/>
        <w:rPr>
          <w:rFonts w:ascii="Times New Roman" w:hAnsi="Times New Roman"/>
          <w:sz w:val="18"/>
          <w:szCs w:val="18"/>
          <w:lang w:val="en-GB"/>
        </w:rPr>
      </w:pPr>
      <w:r w:rsidRPr="009A2994">
        <w:rPr>
          <w:rFonts w:ascii="Times New Roman" w:hAnsi="Times New Roman"/>
          <w:sz w:val="18"/>
          <w:szCs w:val="18"/>
          <w:lang w:val="en-GB"/>
        </w:rPr>
        <w:t>Principles of European F</w:t>
      </w:r>
      <w:r>
        <w:rPr>
          <w:rFonts w:ascii="Times New Roman" w:hAnsi="Times New Roman"/>
          <w:sz w:val="18"/>
          <w:szCs w:val="18"/>
          <w:lang w:val="en-GB"/>
        </w:rPr>
        <w:t>inancial Regulation</w:t>
      </w:r>
    </w:p>
    <w:p w14:paraId="29013CB9" w14:textId="41966360" w:rsidR="006F1772" w:rsidRPr="00E64209" w:rsidRDefault="00CE51D8" w:rsidP="00CE51D8">
      <w:pPr>
        <w:pStyle w:val="Titolo2"/>
        <w:rPr>
          <w:rFonts w:ascii="Times New Roman" w:hAnsi="Times New Roman"/>
          <w:szCs w:val="18"/>
          <w:lang w:val="en-GB"/>
        </w:rPr>
      </w:pPr>
      <w:r w:rsidRPr="009A2994">
        <w:rPr>
          <w:rFonts w:ascii="Times New Roman" w:hAnsi="Times New Roman"/>
          <w:szCs w:val="18"/>
          <w:lang w:val="en-GB"/>
        </w:rPr>
        <w:t xml:space="preserve">Prof. </w:t>
      </w:r>
      <w:r w:rsidR="009A2994" w:rsidRPr="009A2994">
        <w:rPr>
          <w:rFonts w:ascii="Times New Roman" w:hAnsi="Times New Roman"/>
          <w:szCs w:val="18"/>
        </w:rPr>
        <w:t>Michele Mozzarelli</w:t>
      </w:r>
      <w:r w:rsidRPr="009A2994">
        <w:rPr>
          <w:rFonts w:ascii="Times New Roman" w:hAnsi="Times New Roman"/>
          <w:szCs w:val="18"/>
        </w:rPr>
        <w:t xml:space="preserve">; Prof. </w:t>
      </w:r>
      <w:r w:rsidR="0013137D" w:rsidRPr="00E64209">
        <w:rPr>
          <w:rFonts w:ascii="Times New Roman" w:hAnsi="Times New Roman"/>
          <w:szCs w:val="18"/>
          <w:lang w:val="en-GB"/>
        </w:rPr>
        <w:t>Matteo Arrigoni</w:t>
      </w:r>
    </w:p>
    <w:p w14:paraId="2F8354A2" w14:textId="2E718E4A" w:rsidR="00CE51D8" w:rsidRPr="008C6A7A" w:rsidRDefault="00CE51D8" w:rsidP="00CE51D8">
      <w:pPr>
        <w:spacing w:before="240" w:after="120"/>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A4320C">
        <w:rPr>
          <w:b/>
          <w:bCs/>
          <w:i/>
          <w:iCs/>
          <w:sz w:val="18"/>
          <w:szCs w:val="18"/>
          <w:lang w:val="en-GB"/>
        </w:rPr>
        <w:t>INTENDED</w:t>
      </w:r>
      <w:r w:rsidR="008C6A7A">
        <w:rPr>
          <w:b/>
          <w:bCs/>
          <w:i/>
          <w:iCs/>
          <w:sz w:val="18"/>
          <w:szCs w:val="18"/>
          <w:lang w:val="en-GB"/>
        </w:rPr>
        <w:t xml:space="preserve"> LEARNING OUTCOMES </w:t>
      </w:r>
    </w:p>
    <w:p w14:paraId="5C529302" w14:textId="44B624CB" w:rsidR="008501F2" w:rsidRPr="0037359B" w:rsidRDefault="0013137D" w:rsidP="008501F2">
      <w:pPr>
        <w:spacing w:line="240" w:lineRule="exact"/>
        <w:jc w:val="both"/>
        <w:rPr>
          <w:rFonts w:eastAsia="Calibri"/>
          <w:sz w:val="18"/>
          <w:szCs w:val="18"/>
          <w:lang w:val="en-US" w:eastAsia="en-US"/>
        </w:rPr>
      </w:pPr>
      <w:r w:rsidRPr="0013137D">
        <w:rPr>
          <w:rFonts w:eastAsia="Calibri"/>
          <w:sz w:val="18"/>
          <w:szCs w:val="18"/>
          <w:lang w:val="en-US" w:eastAsia="en-US"/>
        </w:rPr>
        <w:t xml:space="preserve">The course aims at providing future investor relators with operational knowledge of EU disclosure regulation. After briefly reviewing the basics of EU financial regulation, the course addresses EU </w:t>
      </w:r>
      <w:r w:rsidR="00761B79">
        <w:rPr>
          <w:rFonts w:eastAsia="Calibri"/>
          <w:sz w:val="18"/>
          <w:szCs w:val="18"/>
          <w:lang w:val="en-US" w:eastAsia="en-US"/>
        </w:rPr>
        <w:t>financial</w:t>
      </w:r>
      <w:r w:rsidR="00761B79" w:rsidRPr="0013137D">
        <w:rPr>
          <w:rFonts w:eastAsia="Calibri"/>
          <w:sz w:val="18"/>
          <w:szCs w:val="18"/>
          <w:lang w:val="en-US" w:eastAsia="en-US"/>
        </w:rPr>
        <w:t xml:space="preserve"> </w:t>
      </w:r>
      <w:r w:rsidRPr="0013137D">
        <w:rPr>
          <w:rFonts w:eastAsia="Calibri"/>
          <w:sz w:val="18"/>
          <w:szCs w:val="18"/>
          <w:lang w:val="en-US" w:eastAsia="en-US"/>
        </w:rPr>
        <w:t xml:space="preserve">markets law from the perspective of disclosure regulation. At the end of the course, the student will be able to: (1) understand the theoretical rationale of disclosure regulation and its actual implementation in EU law; (2) be acquainted with disclosure regulation related to capital-raising, transparency and market abuse, takeover, financial </w:t>
      </w:r>
      <w:proofErr w:type="gramStart"/>
      <w:r w:rsidRPr="0013137D">
        <w:rPr>
          <w:rFonts w:eastAsia="Calibri"/>
          <w:sz w:val="18"/>
          <w:szCs w:val="18"/>
          <w:lang w:val="en-US" w:eastAsia="en-US"/>
        </w:rPr>
        <w:t>analysts</w:t>
      </w:r>
      <w:proofErr w:type="gramEnd"/>
      <w:r w:rsidRPr="0013137D">
        <w:rPr>
          <w:rFonts w:eastAsia="Calibri"/>
          <w:sz w:val="18"/>
          <w:szCs w:val="18"/>
          <w:lang w:val="en-US" w:eastAsia="en-US"/>
        </w:rPr>
        <w:t xml:space="preserve"> and proxy advisors; (3) identify and understand tools and behaviors to comply with disclosure regulation.</w:t>
      </w:r>
      <w:r w:rsidR="008501F2" w:rsidRPr="0037359B">
        <w:rPr>
          <w:rFonts w:eastAsia="Calibri"/>
          <w:sz w:val="18"/>
          <w:szCs w:val="18"/>
          <w:lang w:val="en-US" w:eastAsia="en-US"/>
        </w:rPr>
        <w:t xml:space="preserve"> </w:t>
      </w:r>
    </w:p>
    <w:p w14:paraId="0273EAA7" w14:textId="77777777" w:rsidR="00CE51D8" w:rsidRPr="0037359B" w:rsidRDefault="00CE51D8" w:rsidP="00CE51D8">
      <w:pPr>
        <w:spacing w:before="240" w:after="120"/>
        <w:rPr>
          <w:b/>
          <w:bCs/>
          <w:sz w:val="18"/>
          <w:szCs w:val="18"/>
          <w:lang w:val="en-GB"/>
        </w:rPr>
      </w:pPr>
      <w:r w:rsidRPr="0037359B">
        <w:rPr>
          <w:b/>
          <w:bCs/>
          <w:i/>
          <w:iCs/>
          <w:sz w:val="18"/>
          <w:szCs w:val="18"/>
          <w:lang w:val="en-GB"/>
        </w:rPr>
        <w:t>COURSE CONTENT</w:t>
      </w:r>
    </w:p>
    <w:p w14:paraId="532A2919" w14:textId="2823C0D3"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EU </w:t>
      </w:r>
      <w:r w:rsidR="00761B79">
        <w:rPr>
          <w:rFonts w:eastAsia="Calibri"/>
          <w:sz w:val="18"/>
          <w:szCs w:val="18"/>
          <w:lang w:val="en-US" w:eastAsia="en-US"/>
        </w:rPr>
        <w:t>financial</w:t>
      </w:r>
      <w:r w:rsidRPr="0013137D">
        <w:rPr>
          <w:rFonts w:eastAsia="Calibri"/>
          <w:sz w:val="18"/>
          <w:szCs w:val="18"/>
          <w:lang w:val="en-US" w:eastAsia="en-US"/>
        </w:rPr>
        <w:t xml:space="preserve"> markets law in a nutshell. Concept and aims of </w:t>
      </w:r>
      <w:r w:rsidR="00761B79">
        <w:rPr>
          <w:rFonts w:eastAsia="Calibri"/>
          <w:sz w:val="18"/>
          <w:szCs w:val="18"/>
          <w:lang w:val="en-US" w:eastAsia="en-US"/>
        </w:rPr>
        <w:t>financial</w:t>
      </w:r>
      <w:r w:rsidRPr="0013137D">
        <w:rPr>
          <w:rFonts w:eastAsia="Calibri"/>
          <w:sz w:val="18"/>
          <w:szCs w:val="18"/>
          <w:lang w:val="en-US" w:eastAsia="en-US"/>
        </w:rPr>
        <w:t xml:space="preserve"> markets regulation. </w:t>
      </w:r>
      <w:r w:rsidR="00761B79">
        <w:rPr>
          <w:rFonts w:eastAsia="Calibri"/>
          <w:sz w:val="18"/>
          <w:szCs w:val="18"/>
          <w:lang w:val="en-US" w:eastAsia="en-US"/>
        </w:rPr>
        <w:t>Financial</w:t>
      </w:r>
      <w:r w:rsidRPr="0013137D">
        <w:rPr>
          <w:rFonts w:eastAsia="Calibri"/>
          <w:sz w:val="18"/>
          <w:szCs w:val="18"/>
          <w:lang w:val="en-US" w:eastAsia="en-US"/>
        </w:rPr>
        <w:t xml:space="preserve"> markets, financial instruments, market participants, and supervisors. Processes and strategies of EU </w:t>
      </w:r>
      <w:r w:rsidR="00761B79">
        <w:rPr>
          <w:rFonts w:eastAsia="Calibri"/>
          <w:sz w:val="18"/>
          <w:szCs w:val="18"/>
          <w:lang w:val="en-US" w:eastAsia="en-US"/>
        </w:rPr>
        <w:t>financial</w:t>
      </w:r>
      <w:r w:rsidRPr="0013137D">
        <w:rPr>
          <w:rFonts w:eastAsia="Calibri"/>
          <w:sz w:val="18"/>
          <w:szCs w:val="18"/>
          <w:lang w:val="en-US" w:eastAsia="en-US"/>
        </w:rPr>
        <w:t xml:space="preserve"> markets law.</w:t>
      </w:r>
    </w:p>
    <w:p w14:paraId="53A5C539" w14:textId="3C1FD480"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Rationale and limits of the disclosure paradigm. The role of disclosure from an economic perspective and as a part of investor protection. Disclosure, behavioral finance, and the role of fairness. </w:t>
      </w:r>
    </w:p>
    <w:p w14:paraId="2DB62344"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Disclosure and capital raising. The Prospectus Regulation. Regulatory concepts. Drawing up a prospectus. Sanctions.</w:t>
      </w:r>
    </w:p>
    <w:p w14:paraId="067E91B7"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On-going and periodic disclosure. The Transparency Directive and the Market Abuse Regime. Periodic disclosure and the disclosure of inside information. Shareholders’ rights and disclosure. </w:t>
      </w:r>
    </w:p>
    <w:p w14:paraId="16C611F5"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Disclosure and takeover. Transparency requirements and the obligation to disclose bids.</w:t>
      </w:r>
    </w:p>
    <w:p w14:paraId="7C71CA57" w14:textId="41B61596" w:rsidR="00A4320C" w:rsidRDefault="0013137D" w:rsidP="00A4320C">
      <w:pPr>
        <w:pStyle w:val="Paragrafoelenco"/>
        <w:numPr>
          <w:ilvl w:val="0"/>
          <w:numId w:val="1"/>
        </w:numPr>
        <w:spacing w:after="240" w:line="240" w:lineRule="exact"/>
        <w:ind w:left="425" w:hanging="425"/>
        <w:contextualSpacing w:val="0"/>
        <w:jc w:val="both"/>
        <w:rPr>
          <w:rFonts w:eastAsia="Calibri"/>
          <w:sz w:val="18"/>
          <w:szCs w:val="18"/>
          <w:lang w:val="en-US" w:eastAsia="en-US"/>
        </w:rPr>
      </w:pPr>
      <w:r w:rsidRPr="0013137D">
        <w:rPr>
          <w:rFonts w:eastAsia="Calibri"/>
          <w:sz w:val="18"/>
          <w:szCs w:val="18"/>
          <w:lang w:val="en-US" w:eastAsia="en-US"/>
        </w:rPr>
        <w:t>Disclosure regulation for financial analysts and proxy-advisors.</w:t>
      </w:r>
    </w:p>
    <w:p w14:paraId="59597CAD" w14:textId="1CF84B69" w:rsidR="00CE51D8" w:rsidRPr="00870FD7" w:rsidRDefault="00CE51D8" w:rsidP="00870FD7">
      <w:pPr>
        <w:spacing w:before="240" w:after="120"/>
        <w:rPr>
          <w:b/>
          <w:bCs/>
          <w:i/>
          <w:iCs/>
          <w:sz w:val="18"/>
          <w:szCs w:val="18"/>
          <w:lang w:val="en-GB"/>
        </w:rPr>
      </w:pPr>
      <w:r w:rsidRPr="00A4320C">
        <w:rPr>
          <w:b/>
          <w:bCs/>
          <w:i/>
          <w:iCs/>
          <w:sz w:val="18"/>
          <w:szCs w:val="18"/>
          <w:lang w:val="en-GB"/>
        </w:rPr>
        <w:t>READING LIST</w:t>
      </w:r>
    </w:p>
    <w:p w14:paraId="5910ED0F"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r w:rsidRPr="0037359B">
        <w:rPr>
          <w:rFonts w:ascii="Times New Roman" w:hAnsi="Times New Roman"/>
          <w:szCs w:val="18"/>
          <w:lang w:val="en-US"/>
        </w:rPr>
        <w:t xml:space="preserve"> </w:t>
      </w:r>
    </w:p>
    <w:p w14:paraId="79634E15" w14:textId="469B81F2"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do not attend classes, the textbook is </w:t>
      </w:r>
      <w:r w:rsidR="00652345" w:rsidRPr="0037359B">
        <w:rPr>
          <w:rFonts w:ascii="Times New Roman" w:hAnsi="Times New Roman"/>
          <w:smallCaps/>
          <w:szCs w:val="18"/>
          <w:lang w:val="en-US"/>
        </w:rPr>
        <w:t xml:space="preserve">J. Armour-D. </w:t>
      </w:r>
      <w:r w:rsidR="00CC15F0" w:rsidRPr="0037359B">
        <w:rPr>
          <w:rFonts w:ascii="Times New Roman" w:hAnsi="Times New Roman"/>
          <w:smallCaps/>
          <w:szCs w:val="18"/>
          <w:lang w:val="en-US"/>
        </w:rPr>
        <w:t>Awrey-P. Davies-L. Enriques-J.</w:t>
      </w:r>
      <w:r w:rsidR="00652345" w:rsidRPr="0037359B">
        <w:rPr>
          <w:rFonts w:ascii="Times New Roman" w:hAnsi="Times New Roman"/>
          <w:smallCaps/>
          <w:szCs w:val="18"/>
          <w:lang w:val="en-US"/>
        </w:rPr>
        <w:t>N. Gordon</w:t>
      </w:r>
      <w:r w:rsidRPr="0037359B">
        <w:rPr>
          <w:rFonts w:ascii="Times New Roman" w:hAnsi="Times New Roman"/>
          <w:szCs w:val="18"/>
          <w:lang w:val="en-US"/>
        </w:rPr>
        <w:t xml:space="preserve">, </w:t>
      </w:r>
      <w:r w:rsidRPr="0037359B">
        <w:rPr>
          <w:rFonts w:ascii="Times New Roman" w:hAnsi="Times New Roman"/>
          <w:i/>
          <w:iCs/>
          <w:szCs w:val="18"/>
          <w:lang w:val="en-US"/>
        </w:rPr>
        <w:t>Principles of Financial Regulation</w:t>
      </w:r>
      <w:r w:rsidRPr="0037359B">
        <w:rPr>
          <w:rFonts w:ascii="Times New Roman" w:hAnsi="Times New Roman"/>
          <w:szCs w:val="18"/>
          <w:lang w:val="en-US"/>
        </w:rPr>
        <w:t>, Oxford University Press, 2016.</w:t>
      </w:r>
    </w:p>
    <w:p w14:paraId="71B78292"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The relevant EU law may be found at the following address</w:t>
      </w:r>
      <w:r w:rsidRPr="0037359B">
        <w:rPr>
          <w:rFonts w:ascii="Times New Roman" w:hAnsi="Times New Roman"/>
          <w:i/>
          <w:szCs w:val="18"/>
          <w:lang w:val="en-US"/>
        </w:rPr>
        <w:t>: http://eur-lex.europa.eu/en/index.htm.</w:t>
      </w:r>
    </w:p>
    <w:p w14:paraId="2819207D" w14:textId="56A8BBD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TEACHING METHOD</w:t>
      </w:r>
    </w:p>
    <w:p w14:paraId="67002237"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lastRenderedPageBreak/>
        <w:t>Class lectures and discussions on assigned readings. Active participation in class discussion is highly recommended.</w:t>
      </w:r>
    </w:p>
    <w:p w14:paraId="0B2D8AC6" w14:textId="7777777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20D0B25A" w14:textId="1E02DA2F" w:rsidR="00CE51D8" w:rsidRPr="0037359B" w:rsidRDefault="00663D4B" w:rsidP="00870FD7">
      <w:pPr>
        <w:pStyle w:val="Testo2"/>
        <w:rPr>
          <w:rFonts w:ascii="Times New Roman" w:hAnsi="Times New Roman"/>
          <w:szCs w:val="18"/>
          <w:lang w:val="en-US"/>
        </w:rPr>
      </w:pPr>
      <w:r>
        <w:rPr>
          <w:rFonts w:ascii="Times New Roman" w:hAnsi="Times New Roman"/>
          <w:szCs w:val="18"/>
          <w:lang w:val="en-US"/>
        </w:rPr>
        <w:t>Both f</w:t>
      </w:r>
      <w:r w:rsidR="00CE51D8"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00CE51D8" w:rsidRPr="0037359B">
        <w:rPr>
          <w:rFonts w:ascii="Times New Roman" w:hAnsi="Times New Roman"/>
          <w:szCs w:val="18"/>
          <w:lang w:val="en-US"/>
        </w:rPr>
        <w:t xml:space="preserve">the students who do not attend classes: oral exam. </w:t>
      </w:r>
    </w:p>
    <w:p w14:paraId="0156D860"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7BB79EC2" w14:textId="77777777" w:rsidR="00CE51D8" w:rsidRPr="0037359B" w:rsidRDefault="00CE51D8" w:rsidP="00CE51D8">
      <w:pPr>
        <w:spacing w:before="240" w:after="120"/>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6AC7E8CE" w14:textId="77777777" w:rsidR="00E64209" w:rsidRPr="00663D4B" w:rsidRDefault="00CE51D8" w:rsidP="00870FD7">
      <w:pPr>
        <w:pStyle w:val="Testo2"/>
        <w:rPr>
          <w:lang w:val="en-GB"/>
        </w:rPr>
      </w:pPr>
      <w:r w:rsidRPr="0037359B">
        <w:rPr>
          <w:lang w:val="en-US"/>
        </w:rPr>
        <w:t xml:space="preserve">The course assumes basic knowledge of microeconomics and corporate law. </w:t>
      </w:r>
      <w:r w:rsidRPr="00987643">
        <w:rPr>
          <w:lang w:val="en-GB"/>
        </w:rPr>
        <w:t xml:space="preserve">No previous </w:t>
      </w:r>
      <w:r w:rsidRPr="00663D4B">
        <w:rPr>
          <w:lang w:val="en-GB"/>
        </w:rPr>
        <w:t>knowledge of European Union law is required.</w:t>
      </w:r>
    </w:p>
    <w:p w14:paraId="0F344914" w14:textId="7118FDA5" w:rsidR="00A4320C" w:rsidRPr="00663D4B" w:rsidRDefault="00F509A7" w:rsidP="00870FD7">
      <w:pPr>
        <w:pStyle w:val="Testo2"/>
        <w:rPr>
          <w:lang w:val="en-GB"/>
        </w:rPr>
      </w:pPr>
      <w:r w:rsidRPr="00663D4B">
        <w:rPr>
          <w:lang w:val="en-GB"/>
        </w:rPr>
        <w:t>Should the Covid-19 pandemic prevent ordinary teaching, classes shall be online under the terms that will be made known timely.</w:t>
      </w:r>
    </w:p>
    <w:p w14:paraId="082D7BB9" w14:textId="77777777" w:rsidR="00CE51D8" w:rsidRPr="0037359B" w:rsidRDefault="00CE51D8" w:rsidP="00870FD7">
      <w:pPr>
        <w:pStyle w:val="Testo2"/>
        <w:spacing w:before="120"/>
        <w:rPr>
          <w:rFonts w:ascii="Times New Roman" w:hAnsi="Times New Roman"/>
          <w:i/>
          <w:szCs w:val="18"/>
          <w:lang w:val="en-US"/>
        </w:rPr>
      </w:pPr>
      <w:r w:rsidRPr="00663D4B">
        <w:rPr>
          <w:rFonts w:ascii="Times New Roman" w:hAnsi="Times New Roman"/>
          <w:i/>
          <w:szCs w:val="18"/>
          <w:lang w:val="en-US"/>
        </w:rPr>
        <w:t xml:space="preserve">Place and time of </w:t>
      </w:r>
      <w:r w:rsidR="0037359B" w:rsidRPr="00663D4B">
        <w:rPr>
          <w:rFonts w:ascii="Times New Roman" w:hAnsi="Times New Roman"/>
          <w:i/>
          <w:szCs w:val="18"/>
          <w:lang w:val="en-US"/>
        </w:rPr>
        <w:t xml:space="preserve">office </w:t>
      </w:r>
      <w:r w:rsidRPr="00663D4B">
        <w:rPr>
          <w:rFonts w:ascii="Times New Roman" w:hAnsi="Times New Roman"/>
          <w:i/>
          <w:szCs w:val="18"/>
          <w:lang w:val="en-US"/>
        </w:rPr>
        <w:t>hours</w:t>
      </w:r>
    </w:p>
    <w:p w14:paraId="53F01709" w14:textId="6625A84F"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 xml:space="preserve">Prof. </w:t>
      </w:r>
      <w:r w:rsidR="009A2994">
        <w:rPr>
          <w:rFonts w:ascii="Times New Roman" w:hAnsi="Times New Roman"/>
          <w:szCs w:val="18"/>
          <w:lang w:val="en-US"/>
        </w:rPr>
        <w:t>Michele Mozzarelli</w:t>
      </w:r>
      <w:r w:rsidR="00F509A7">
        <w:rPr>
          <w:rFonts w:ascii="Times New Roman" w:hAnsi="Times New Roman"/>
          <w:szCs w:val="18"/>
          <w:lang w:val="en-US"/>
        </w:rPr>
        <w:t xml:space="preserve"> and prof. </w:t>
      </w:r>
      <w:r w:rsidR="0013137D">
        <w:rPr>
          <w:rFonts w:ascii="Times New Roman" w:hAnsi="Times New Roman"/>
          <w:szCs w:val="18"/>
          <w:lang w:val="en-US"/>
        </w:rPr>
        <w:t>Matteo Arrigoni</w:t>
      </w:r>
      <w:r w:rsidRPr="0037359B">
        <w:rPr>
          <w:rFonts w:ascii="Times New Roman" w:hAnsi="Times New Roman"/>
          <w:szCs w:val="18"/>
          <w:lang w:val="en-US"/>
        </w:rPr>
        <w:t xml:space="preserve"> meet students as published on the course Blackboard web site. Meetings can also be arranged by appointment. Email address</w:t>
      </w:r>
      <w:r w:rsidR="00F509A7">
        <w:rPr>
          <w:rFonts w:ascii="Times New Roman" w:hAnsi="Times New Roman"/>
          <w:szCs w:val="18"/>
          <w:lang w:val="en-US"/>
        </w:rPr>
        <w:t xml:space="preserve">es are </w:t>
      </w:r>
      <w:r w:rsidR="009A2994">
        <w:rPr>
          <w:rFonts w:ascii="Times New Roman" w:hAnsi="Times New Roman"/>
          <w:i/>
          <w:iCs/>
          <w:szCs w:val="18"/>
          <w:lang w:val="en-US"/>
        </w:rPr>
        <w:t>michele.mozzarelli</w:t>
      </w:r>
      <w:r w:rsidR="00F509A7" w:rsidRPr="00F509A7">
        <w:rPr>
          <w:rFonts w:ascii="Times New Roman" w:hAnsi="Times New Roman"/>
          <w:i/>
          <w:iCs/>
          <w:szCs w:val="18"/>
          <w:lang w:val="en-US"/>
        </w:rPr>
        <w:t>@unicatt.it</w:t>
      </w:r>
      <w:r w:rsidR="00F509A7">
        <w:rPr>
          <w:rFonts w:ascii="Times New Roman" w:hAnsi="Times New Roman"/>
          <w:szCs w:val="18"/>
          <w:lang w:val="en-US"/>
        </w:rPr>
        <w:t xml:space="preserve"> and </w:t>
      </w:r>
      <w:r w:rsidR="0013137D">
        <w:rPr>
          <w:rFonts w:ascii="Times New Roman" w:hAnsi="Times New Roman"/>
          <w:i/>
          <w:szCs w:val="18"/>
          <w:lang w:val="en-US"/>
        </w:rPr>
        <w:t>matteo</w:t>
      </w:r>
      <w:r w:rsidR="00103336" w:rsidRPr="0037359B">
        <w:rPr>
          <w:rFonts w:ascii="Times New Roman" w:hAnsi="Times New Roman"/>
          <w:i/>
          <w:szCs w:val="18"/>
          <w:lang w:val="en-US"/>
        </w:rPr>
        <w:t>.</w:t>
      </w:r>
      <w:r w:rsidR="0013137D">
        <w:rPr>
          <w:rFonts w:ascii="Times New Roman" w:hAnsi="Times New Roman"/>
          <w:i/>
          <w:szCs w:val="18"/>
          <w:lang w:val="en-US"/>
        </w:rPr>
        <w:t>arrigoni</w:t>
      </w:r>
      <w:r w:rsidR="00103336" w:rsidRPr="0037359B">
        <w:rPr>
          <w:rFonts w:ascii="Times New Roman" w:hAnsi="Times New Roman"/>
          <w:i/>
          <w:szCs w:val="18"/>
          <w:lang w:val="en-US"/>
        </w:rPr>
        <w:t>@unicatt.it.</w:t>
      </w:r>
    </w:p>
    <w:sectPr w:rsidR="00CE51D8" w:rsidRPr="0037359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913102">
    <w:abstractNumId w:val="1"/>
  </w:num>
  <w:num w:numId="2" w16cid:durableId="12215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7F"/>
    <w:rsid w:val="00024F90"/>
    <w:rsid w:val="0004547D"/>
    <w:rsid w:val="00103336"/>
    <w:rsid w:val="0013137D"/>
    <w:rsid w:val="0037359B"/>
    <w:rsid w:val="003A15C9"/>
    <w:rsid w:val="003C44E8"/>
    <w:rsid w:val="00485C31"/>
    <w:rsid w:val="004D1217"/>
    <w:rsid w:val="004D6008"/>
    <w:rsid w:val="005B34B8"/>
    <w:rsid w:val="005D4E27"/>
    <w:rsid w:val="00630863"/>
    <w:rsid w:val="00652345"/>
    <w:rsid w:val="00663D4B"/>
    <w:rsid w:val="006F1166"/>
    <w:rsid w:val="006F1772"/>
    <w:rsid w:val="00761B79"/>
    <w:rsid w:val="00777EAF"/>
    <w:rsid w:val="008501F2"/>
    <w:rsid w:val="00870FD7"/>
    <w:rsid w:val="008C6A7A"/>
    <w:rsid w:val="00940DA2"/>
    <w:rsid w:val="00987643"/>
    <w:rsid w:val="009A2994"/>
    <w:rsid w:val="00A4320C"/>
    <w:rsid w:val="00B0666A"/>
    <w:rsid w:val="00B86014"/>
    <w:rsid w:val="00C10123"/>
    <w:rsid w:val="00C13B9F"/>
    <w:rsid w:val="00C74177"/>
    <w:rsid w:val="00C82460"/>
    <w:rsid w:val="00C86786"/>
    <w:rsid w:val="00CC15F0"/>
    <w:rsid w:val="00CE51D8"/>
    <w:rsid w:val="00D70141"/>
    <w:rsid w:val="00DF0A0A"/>
    <w:rsid w:val="00E64209"/>
    <w:rsid w:val="00F509A7"/>
    <w:rsid w:val="00FA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D70E"/>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character" w:styleId="Rimandocommento">
    <w:name w:val="annotation reference"/>
    <w:basedOn w:val="Carpredefinitoparagrafo"/>
    <w:semiHidden/>
    <w:unhideWhenUsed/>
    <w:rsid w:val="0013137D"/>
    <w:rPr>
      <w:sz w:val="16"/>
      <w:szCs w:val="16"/>
    </w:rPr>
  </w:style>
  <w:style w:type="paragraph" w:styleId="Testocommento">
    <w:name w:val="annotation text"/>
    <w:basedOn w:val="Normale"/>
    <w:link w:val="TestocommentoCarattere"/>
    <w:semiHidden/>
    <w:unhideWhenUsed/>
    <w:rsid w:val="0013137D"/>
    <w:rPr>
      <w:sz w:val="20"/>
      <w:szCs w:val="20"/>
    </w:rPr>
  </w:style>
  <w:style w:type="character" w:customStyle="1" w:styleId="TestocommentoCarattere">
    <w:name w:val="Testo commento Carattere"/>
    <w:basedOn w:val="Carpredefinitoparagrafo"/>
    <w:link w:val="Testocommento"/>
    <w:semiHidden/>
    <w:rsid w:val="0013137D"/>
  </w:style>
  <w:style w:type="paragraph" w:styleId="Soggettocommento">
    <w:name w:val="annotation subject"/>
    <w:basedOn w:val="Testocommento"/>
    <w:next w:val="Testocommento"/>
    <w:link w:val="SoggettocommentoCarattere"/>
    <w:semiHidden/>
    <w:unhideWhenUsed/>
    <w:rsid w:val="0013137D"/>
    <w:rPr>
      <w:b/>
      <w:bCs/>
    </w:rPr>
  </w:style>
  <w:style w:type="character" w:customStyle="1" w:styleId="SoggettocommentoCarattere">
    <w:name w:val="Soggetto commento Carattere"/>
    <w:basedOn w:val="TestocommentoCarattere"/>
    <w:link w:val="Soggettocommento"/>
    <w:semiHidden/>
    <w:rsid w:val="0013137D"/>
    <w:rPr>
      <w:b/>
      <w:bCs/>
    </w:rPr>
  </w:style>
  <w:style w:type="paragraph" w:styleId="Testofumetto">
    <w:name w:val="Balloon Text"/>
    <w:basedOn w:val="Normale"/>
    <w:link w:val="TestofumettoCarattere"/>
    <w:semiHidden/>
    <w:unhideWhenUsed/>
    <w:rsid w:val="0013137D"/>
    <w:rPr>
      <w:rFonts w:ascii="Segoe UI" w:hAnsi="Segoe UI" w:cs="Segoe UI"/>
      <w:sz w:val="18"/>
      <w:szCs w:val="18"/>
    </w:rPr>
  </w:style>
  <w:style w:type="character" w:customStyle="1" w:styleId="TestofumettoCarattere">
    <w:name w:val="Testo fumetto Carattere"/>
    <w:basedOn w:val="Carpredefinitoparagrafo"/>
    <w:link w:val="Testofumetto"/>
    <w:semiHidden/>
    <w:rsid w:val="0013137D"/>
    <w:rPr>
      <w:rFonts w:ascii="Segoe UI" w:hAnsi="Segoe UI" w:cs="Segoe UI"/>
      <w:sz w:val="18"/>
      <w:szCs w:val="18"/>
    </w:rPr>
  </w:style>
  <w:style w:type="character" w:styleId="Collegamentoipertestuale">
    <w:name w:val="Hyperlink"/>
    <w:basedOn w:val="Carpredefinitoparagrafo"/>
    <w:unhideWhenUsed/>
    <w:rsid w:val="00F509A7"/>
    <w:rPr>
      <w:color w:val="0000FF" w:themeColor="hyperlink"/>
      <w:u w:val="single"/>
    </w:rPr>
  </w:style>
  <w:style w:type="character" w:customStyle="1" w:styleId="Menzionenonrisolta1">
    <w:name w:val="Menzione non risolta1"/>
    <w:basedOn w:val="Carpredefinitoparagrafo"/>
    <w:uiPriority w:val="99"/>
    <w:semiHidden/>
    <w:unhideWhenUsed/>
    <w:rsid w:val="00F5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E9E0-190B-4E5E-A748-F16DD90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128</TotalTime>
  <Pages>2</Pages>
  <Words>459</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10</cp:revision>
  <cp:lastPrinted>2017-06-20T07:42:00Z</cp:lastPrinted>
  <dcterms:created xsi:type="dcterms:W3CDTF">2020-05-28T07:50:00Z</dcterms:created>
  <dcterms:modified xsi:type="dcterms:W3CDTF">2022-06-10T14:03:00Z</dcterms:modified>
</cp:coreProperties>
</file>