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43C4" w14:textId="77777777" w:rsidR="00B957CB" w:rsidRPr="00FD1973" w:rsidRDefault="00B957CB" w:rsidP="00B957CB">
      <w:pPr>
        <w:spacing w:before="480"/>
        <w:ind w:left="284" w:hanging="284"/>
        <w:jc w:val="left"/>
        <w:outlineLvl w:val="0"/>
        <w:rPr>
          <w:rFonts w:ascii="Times" w:hAnsi="Times"/>
          <w:b/>
          <w:szCs w:val="20"/>
        </w:rPr>
      </w:pPr>
      <w:r w:rsidRPr="00FD1973">
        <w:rPr>
          <w:rFonts w:ascii="Times" w:hAnsi="Times"/>
          <w:b/>
          <w:bCs/>
          <w:szCs w:val="20"/>
        </w:rPr>
        <w:t>Ethics</w:t>
      </w:r>
    </w:p>
    <w:p w14:paraId="2C48345E" w14:textId="690DBABC" w:rsidR="00EF69F6" w:rsidRPr="00FD1973" w:rsidRDefault="00FF3212" w:rsidP="00EF69F6">
      <w:pPr>
        <w:pStyle w:val="Titolo2"/>
        <w:rPr>
          <w:noProof w:val="0"/>
        </w:rPr>
      </w:pPr>
      <w:r w:rsidRPr="00FD1973">
        <w:rPr>
          <w:noProof w:val="0"/>
        </w:rPr>
        <w:t>Prof. Franco Riva</w:t>
      </w:r>
    </w:p>
    <w:p w14:paraId="2ED455B1" w14:textId="77777777" w:rsidR="00FF3212" w:rsidRPr="00FD1973" w:rsidRDefault="00FF3212" w:rsidP="00FF3212">
      <w:pPr>
        <w:tabs>
          <w:tab w:val="right" w:pos="6690"/>
        </w:tabs>
        <w:spacing w:before="240" w:after="120" w:line="240" w:lineRule="exact"/>
        <w:rPr>
          <w:b/>
          <w:i/>
          <w:sz w:val="18"/>
        </w:rPr>
      </w:pPr>
      <w:r w:rsidRPr="00FD1973">
        <w:rPr>
          <w:b/>
          <w:i/>
          <w:sz w:val="18"/>
        </w:rPr>
        <w:t>COURSE AIMS AND INTENDED LEARNING OUTCOMES</w:t>
      </w:r>
    </w:p>
    <w:p w14:paraId="22E84351" w14:textId="77777777" w:rsidR="00FF3212" w:rsidRPr="00FD1973" w:rsidRDefault="00FF3212" w:rsidP="00FF3212">
      <w:pPr>
        <w:spacing w:line="240" w:lineRule="exact"/>
        <w:rPr>
          <w:rFonts w:ascii="Times" w:hAnsi="Times" w:cs="Times"/>
        </w:rPr>
      </w:pPr>
      <w:r w:rsidRPr="00FD1973">
        <w:rPr>
          <w:rFonts w:ascii="Times" w:hAnsi="Times"/>
        </w:rPr>
        <w:t>By introducing them to typical hermeneutical, phenomenological, conceptual and dialectical and problem-based methods, the course aims to furnish students with the ability to understand and analyse, at an advanced level, various core ideas and important structures related to an ethical existence in the contemporary world. At the end of the course, students must demonstrate knowledge and understanding of the topics, problems, theories and texts on the syllabus, and have enhanced their professionalising skills and capacity for independence and creativity.</w:t>
      </w:r>
    </w:p>
    <w:p w14:paraId="436B3000" w14:textId="77777777" w:rsidR="00FF3212" w:rsidRPr="00FD1973" w:rsidRDefault="00FF3212" w:rsidP="00FF3212">
      <w:pPr>
        <w:spacing w:before="240" w:after="120" w:line="240" w:lineRule="exact"/>
        <w:rPr>
          <w:b/>
          <w:i/>
          <w:sz w:val="18"/>
        </w:rPr>
      </w:pPr>
      <w:r w:rsidRPr="00FD1973">
        <w:rPr>
          <w:b/>
          <w:i/>
          <w:sz w:val="18"/>
        </w:rPr>
        <w:t>COURSE CONTENT</w:t>
      </w:r>
    </w:p>
    <w:p w14:paraId="021D44F9" w14:textId="6DA13F8B" w:rsidR="004F63D3" w:rsidRPr="00FD1973" w:rsidRDefault="00F3107A" w:rsidP="004F63D3">
      <w:pPr>
        <w:rPr>
          <w:rFonts w:eastAsia="MS Mincho"/>
          <w:szCs w:val="20"/>
        </w:rPr>
      </w:pPr>
      <w:r w:rsidRPr="00FD1973">
        <w:rPr>
          <w:noProof/>
          <w:spacing w:val="-5"/>
          <w:szCs w:val="20"/>
        </w:rPr>
        <w:t>Technique. Fear Hope</w:t>
      </w:r>
      <w:r w:rsidRPr="00FD1973">
        <w:rPr>
          <w:rFonts w:eastAsia="MS Mincho"/>
          <w:szCs w:val="20"/>
        </w:rPr>
        <w:t xml:space="preserve"> </w:t>
      </w:r>
      <w:r w:rsidR="004F63D3" w:rsidRPr="00FD1973">
        <w:rPr>
          <w:rFonts w:eastAsia="MS Mincho"/>
          <w:szCs w:val="20"/>
        </w:rPr>
        <w:t>(Modul</w:t>
      </w:r>
      <w:r w:rsidRPr="00FD1973">
        <w:rPr>
          <w:rFonts w:eastAsia="MS Mincho"/>
          <w:szCs w:val="20"/>
        </w:rPr>
        <w:t>e</w:t>
      </w:r>
      <w:r w:rsidR="004F63D3" w:rsidRPr="00FD1973">
        <w:rPr>
          <w:rFonts w:eastAsia="MS Mincho"/>
          <w:szCs w:val="20"/>
        </w:rPr>
        <w:t xml:space="preserve"> I)</w:t>
      </w:r>
    </w:p>
    <w:p w14:paraId="37EBB72F" w14:textId="64266A49" w:rsidR="004F63D3" w:rsidRPr="00FD1973" w:rsidRDefault="00F3107A" w:rsidP="004F63D3">
      <w:pPr>
        <w:rPr>
          <w:noProof/>
          <w:spacing w:val="-5"/>
          <w:szCs w:val="20"/>
        </w:rPr>
      </w:pPr>
      <w:r w:rsidRPr="00FD1973">
        <w:rPr>
          <w:noProof/>
          <w:spacing w:val="-5"/>
          <w:szCs w:val="20"/>
        </w:rPr>
        <w:t xml:space="preserve">Technical acting and prejudices: </w:t>
      </w:r>
      <w:r w:rsidR="00241E3A" w:rsidRPr="00FD1973">
        <w:rPr>
          <w:noProof/>
          <w:spacing w:val="-5"/>
          <w:szCs w:val="20"/>
        </w:rPr>
        <w:t>that</w:t>
      </w:r>
      <w:r w:rsidRPr="00FD1973">
        <w:rPr>
          <w:noProof/>
          <w:spacing w:val="-5"/>
          <w:szCs w:val="20"/>
        </w:rPr>
        <w:t xml:space="preserve"> it is a</w:t>
      </w:r>
      <w:r w:rsidR="00241E3A" w:rsidRPr="00FD1973">
        <w:rPr>
          <w:noProof/>
          <w:spacing w:val="-5"/>
          <w:szCs w:val="20"/>
        </w:rPr>
        <w:t>n age-related</w:t>
      </w:r>
      <w:r w:rsidRPr="00FD1973">
        <w:rPr>
          <w:noProof/>
          <w:spacing w:val="-5"/>
          <w:szCs w:val="20"/>
        </w:rPr>
        <w:t xml:space="preserve"> problem (without roots); </w:t>
      </w:r>
      <w:r w:rsidR="00241E3A" w:rsidRPr="00FD1973">
        <w:rPr>
          <w:noProof/>
          <w:spacing w:val="-5"/>
          <w:szCs w:val="20"/>
        </w:rPr>
        <w:t>that</w:t>
      </w:r>
      <w:r w:rsidR="00975FB2" w:rsidRPr="00FD1973">
        <w:rPr>
          <w:noProof/>
          <w:spacing w:val="-5"/>
          <w:szCs w:val="20"/>
        </w:rPr>
        <w:t xml:space="preserve"> it</w:t>
      </w:r>
      <w:r w:rsidRPr="00FD1973">
        <w:rPr>
          <w:noProof/>
          <w:spacing w:val="-5"/>
          <w:szCs w:val="20"/>
        </w:rPr>
        <w:t xml:space="preserve"> should be acquitted or condemned </w:t>
      </w:r>
      <w:r w:rsidR="009B68D8" w:rsidRPr="00FD1973">
        <w:rPr>
          <w:noProof/>
          <w:spacing w:val="-5"/>
          <w:szCs w:val="20"/>
        </w:rPr>
        <w:t>as a whole</w:t>
      </w:r>
      <w:r w:rsidRPr="00FD1973">
        <w:rPr>
          <w:noProof/>
          <w:spacing w:val="-5"/>
          <w:szCs w:val="20"/>
        </w:rPr>
        <w:t xml:space="preserve"> (without responsibility); </w:t>
      </w:r>
      <w:r w:rsidR="00241E3A" w:rsidRPr="00FD1973">
        <w:rPr>
          <w:noProof/>
          <w:spacing w:val="-5"/>
          <w:szCs w:val="20"/>
        </w:rPr>
        <w:t>that</w:t>
      </w:r>
      <w:r w:rsidR="009B68D8" w:rsidRPr="00FD1973">
        <w:rPr>
          <w:noProof/>
          <w:spacing w:val="-5"/>
          <w:szCs w:val="20"/>
        </w:rPr>
        <w:t xml:space="preserve"> </w:t>
      </w:r>
      <w:r w:rsidRPr="00FD1973">
        <w:rPr>
          <w:noProof/>
          <w:spacing w:val="-5"/>
          <w:szCs w:val="20"/>
        </w:rPr>
        <w:t xml:space="preserve">there are no alternatives. </w:t>
      </w:r>
    </w:p>
    <w:p w14:paraId="68DF5ECA" w14:textId="76A6F278" w:rsidR="004F63D3" w:rsidRPr="00FD1973" w:rsidRDefault="009B68D8" w:rsidP="004F63D3">
      <w:pPr>
        <w:spacing w:before="120"/>
        <w:rPr>
          <w:rFonts w:eastAsia="MS Mincho"/>
          <w:szCs w:val="20"/>
        </w:rPr>
      </w:pPr>
      <w:bookmarkStart w:id="0" w:name="_Hlk101893301"/>
      <w:r w:rsidRPr="00FD1973">
        <w:rPr>
          <w:rFonts w:eastAsia="MS Mincho"/>
          <w:szCs w:val="20"/>
        </w:rPr>
        <w:t>Free time. Party. Game. Rite. Sacrifice (Module A)</w:t>
      </w:r>
    </w:p>
    <w:p w14:paraId="5C445E9F" w14:textId="631A3D52" w:rsidR="004F63D3" w:rsidRPr="00FD1973" w:rsidRDefault="009B68D8" w:rsidP="004F63D3">
      <w:pPr>
        <w:rPr>
          <w:rFonts w:eastAsia="MS Mincho"/>
          <w:szCs w:val="20"/>
        </w:rPr>
      </w:pPr>
      <w:r w:rsidRPr="00FD1973">
        <w:rPr>
          <w:rFonts w:eastAsia="MS Mincho"/>
          <w:szCs w:val="20"/>
        </w:rPr>
        <w:t xml:space="preserve">If life begins at night, the struggle with free and busy time pushes </w:t>
      </w:r>
      <w:r w:rsidR="000B431E" w:rsidRPr="00FD1973">
        <w:rPr>
          <w:rFonts w:eastAsia="MS Mincho"/>
          <w:szCs w:val="20"/>
        </w:rPr>
        <w:t>partying</w:t>
      </w:r>
      <w:r w:rsidRPr="00FD1973">
        <w:rPr>
          <w:rFonts w:eastAsia="MS Mincho"/>
          <w:szCs w:val="20"/>
        </w:rPr>
        <w:t xml:space="preserve">, game, </w:t>
      </w:r>
      <w:r w:rsidR="00924F17" w:rsidRPr="00FD1973">
        <w:rPr>
          <w:rFonts w:eastAsia="MS Mincho"/>
          <w:szCs w:val="20"/>
        </w:rPr>
        <w:t xml:space="preserve">and </w:t>
      </w:r>
      <w:r w:rsidRPr="00FD1973">
        <w:rPr>
          <w:rFonts w:eastAsia="MS Mincho"/>
          <w:szCs w:val="20"/>
        </w:rPr>
        <w:t xml:space="preserve">ritual into sacrificial </w:t>
      </w:r>
      <w:r w:rsidR="00924F17" w:rsidRPr="00FD1973">
        <w:rPr>
          <w:rFonts w:eastAsia="MS Mincho"/>
          <w:szCs w:val="20"/>
        </w:rPr>
        <w:t xml:space="preserve">escape and excess </w:t>
      </w:r>
      <w:r w:rsidRPr="00FD1973">
        <w:rPr>
          <w:rFonts w:eastAsia="MS Mincho"/>
          <w:szCs w:val="20"/>
        </w:rPr>
        <w:t xml:space="preserve">traps, into mirages and industries of freedom but on command. </w:t>
      </w:r>
      <w:r w:rsidR="004F63D3" w:rsidRPr="00FD1973">
        <w:rPr>
          <w:rFonts w:eastAsia="MS Mincho"/>
          <w:szCs w:val="20"/>
        </w:rPr>
        <w:t xml:space="preserve"> </w:t>
      </w:r>
    </w:p>
    <w:bookmarkEnd w:id="0"/>
    <w:p w14:paraId="45EEE18A" w14:textId="77777777" w:rsidR="00C72ADD" w:rsidRPr="00FD1973" w:rsidRDefault="00C72ADD" w:rsidP="00C72ADD">
      <w:pPr>
        <w:spacing w:before="240" w:after="120" w:line="240" w:lineRule="exact"/>
        <w:rPr>
          <w:b/>
          <w:i/>
          <w:sz w:val="18"/>
        </w:rPr>
      </w:pPr>
      <w:r w:rsidRPr="00FD1973">
        <w:rPr>
          <w:b/>
          <w:i/>
          <w:sz w:val="18"/>
        </w:rPr>
        <w:t>READING LIST</w:t>
      </w:r>
    </w:p>
    <w:p w14:paraId="784F348F" w14:textId="210A1A48" w:rsidR="004F63D3" w:rsidRPr="00FD1973" w:rsidRDefault="00924F17" w:rsidP="004F63D3">
      <w:pPr>
        <w:pStyle w:val="Testo1"/>
        <w:rPr>
          <w:rFonts w:eastAsia="MS Mincho"/>
          <w:i/>
          <w:iCs/>
        </w:rPr>
      </w:pPr>
      <w:r w:rsidRPr="00FD1973">
        <w:rPr>
          <w:rFonts w:eastAsia="MS Mincho"/>
          <w:i/>
          <w:iCs/>
        </w:rPr>
        <w:t xml:space="preserve">Reading list and course map </w:t>
      </w:r>
    </w:p>
    <w:p w14:paraId="11A05274" w14:textId="57E22465" w:rsidR="004F63D3" w:rsidRPr="00FD1973" w:rsidRDefault="004F63D3" w:rsidP="004F63D3">
      <w:pPr>
        <w:spacing w:line="240" w:lineRule="exact"/>
        <w:rPr>
          <w:rFonts w:ascii="Times" w:hAnsi="Times"/>
          <w:i/>
          <w:noProof/>
          <w:spacing w:val="-5"/>
          <w:sz w:val="18"/>
          <w:szCs w:val="18"/>
        </w:rPr>
      </w:pPr>
      <w:r w:rsidRPr="00FD1973">
        <w:rPr>
          <w:rFonts w:ascii="Times" w:eastAsia="MS Mincho" w:hAnsi="Times" w:cs="Times"/>
          <w:sz w:val="18"/>
          <w:szCs w:val="20"/>
        </w:rPr>
        <w:t>Modul</w:t>
      </w:r>
      <w:r w:rsidR="00924F17" w:rsidRPr="00FD1973">
        <w:rPr>
          <w:rFonts w:ascii="Times" w:eastAsia="MS Mincho" w:hAnsi="Times" w:cs="Times"/>
          <w:sz w:val="18"/>
          <w:szCs w:val="20"/>
        </w:rPr>
        <w:t>e</w:t>
      </w:r>
      <w:r w:rsidRPr="00FD1973">
        <w:rPr>
          <w:rFonts w:ascii="Times" w:eastAsia="MS Mincho" w:hAnsi="Times" w:cs="Times"/>
          <w:sz w:val="18"/>
          <w:szCs w:val="20"/>
        </w:rPr>
        <w:t xml:space="preserve"> I: </w:t>
      </w:r>
      <w:r w:rsidRPr="00FD1973">
        <w:rPr>
          <w:rFonts w:ascii="Times" w:hAnsi="Times"/>
          <w:i/>
          <w:noProof/>
          <w:spacing w:val="-5"/>
          <w:sz w:val="18"/>
          <w:szCs w:val="18"/>
        </w:rPr>
        <w:t>Tec</w:t>
      </w:r>
      <w:r w:rsidR="00553602" w:rsidRPr="00FD1973">
        <w:rPr>
          <w:rFonts w:ascii="Times" w:hAnsi="Times"/>
          <w:i/>
          <w:noProof/>
          <w:spacing w:val="-5"/>
          <w:sz w:val="18"/>
          <w:szCs w:val="18"/>
        </w:rPr>
        <w:t>h</w:t>
      </w:r>
      <w:r w:rsidRPr="00FD1973">
        <w:rPr>
          <w:rFonts w:ascii="Times" w:hAnsi="Times"/>
          <w:i/>
          <w:noProof/>
          <w:spacing w:val="-5"/>
          <w:sz w:val="18"/>
          <w:szCs w:val="18"/>
        </w:rPr>
        <w:t>ni</w:t>
      </w:r>
      <w:r w:rsidR="00553602" w:rsidRPr="00FD1973">
        <w:rPr>
          <w:rFonts w:ascii="Times" w:hAnsi="Times"/>
          <w:i/>
          <w:noProof/>
          <w:spacing w:val="-5"/>
          <w:sz w:val="18"/>
          <w:szCs w:val="18"/>
        </w:rPr>
        <w:t>que</w:t>
      </w:r>
      <w:r w:rsidRPr="00FD1973">
        <w:rPr>
          <w:rFonts w:ascii="Times" w:hAnsi="Times"/>
          <w:i/>
          <w:noProof/>
          <w:spacing w:val="-5"/>
          <w:sz w:val="18"/>
          <w:szCs w:val="18"/>
        </w:rPr>
        <w:t xml:space="preserve">. </w:t>
      </w:r>
      <w:r w:rsidR="00553602" w:rsidRPr="00FD1973">
        <w:rPr>
          <w:rFonts w:ascii="Times" w:hAnsi="Times"/>
          <w:i/>
          <w:noProof/>
          <w:spacing w:val="-5"/>
          <w:sz w:val="18"/>
          <w:szCs w:val="18"/>
        </w:rPr>
        <w:t>Fear</w:t>
      </w:r>
      <w:r w:rsidRPr="00FD1973">
        <w:rPr>
          <w:rFonts w:ascii="Times" w:hAnsi="Times"/>
          <w:i/>
          <w:noProof/>
          <w:spacing w:val="-5"/>
          <w:sz w:val="18"/>
          <w:szCs w:val="18"/>
        </w:rPr>
        <w:t xml:space="preserve">. </w:t>
      </w:r>
      <w:r w:rsidR="00553602" w:rsidRPr="00FD1973">
        <w:rPr>
          <w:rFonts w:ascii="Times" w:hAnsi="Times"/>
          <w:i/>
          <w:noProof/>
          <w:spacing w:val="-5"/>
          <w:sz w:val="18"/>
          <w:szCs w:val="18"/>
        </w:rPr>
        <w:t>Hope</w:t>
      </w:r>
    </w:p>
    <w:p w14:paraId="4E87F366" w14:textId="77777777" w:rsidR="004F63D3" w:rsidRPr="00FD1973" w:rsidRDefault="004F63D3" w:rsidP="004F63D3">
      <w:pPr>
        <w:pStyle w:val="Testo1"/>
        <w:numPr>
          <w:ilvl w:val="0"/>
          <w:numId w:val="5"/>
        </w:numPr>
        <w:spacing w:before="0"/>
        <w:ind w:left="284" w:hanging="284"/>
        <w:rPr>
          <w:spacing w:val="-5"/>
          <w:szCs w:val="18"/>
        </w:rPr>
      </w:pPr>
      <w:r w:rsidRPr="00FD1973">
        <w:rPr>
          <w:i/>
          <w:spacing w:val="-5"/>
          <w:szCs w:val="18"/>
        </w:rPr>
        <w:t xml:space="preserve">Vergogna: di non essere macchine. </w:t>
      </w:r>
      <w:r w:rsidRPr="00FD1973">
        <w:rPr>
          <w:spacing w:val="-5"/>
          <w:szCs w:val="18"/>
        </w:rPr>
        <w:t xml:space="preserve">(G. Anders, </w:t>
      </w:r>
      <w:r w:rsidRPr="00FD1973">
        <w:rPr>
          <w:i/>
          <w:spacing w:val="-5"/>
          <w:szCs w:val="18"/>
        </w:rPr>
        <w:t>L’uomo antiquato</w:t>
      </w:r>
      <w:r w:rsidRPr="00FD1973">
        <w:rPr>
          <w:spacing w:val="-5"/>
          <w:szCs w:val="18"/>
        </w:rPr>
        <w:t>, Bollati B., Torino 2003, vol. I, pp. 37-120: Vergogna prometeica - libero l’approccio ad altri temi come corpo, bomba).</w:t>
      </w:r>
    </w:p>
    <w:p w14:paraId="50915FED" w14:textId="77777777" w:rsidR="004F63D3" w:rsidRPr="00FD1973" w:rsidRDefault="004F63D3" w:rsidP="004F63D3">
      <w:pPr>
        <w:pStyle w:val="Testo1"/>
        <w:numPr>
          <w:ilvl w:val="0"/>
          <w:numId w:val="5"/>
        </w:numPr>
        <w:spacing w:before="0"/>
        <w:ind w:left="284" w:hanging="284"/>
        <w:rPr>
          <w:spacing w:val="-5"/>
          <w:szCs w:val="18"/>
        </w:rPr>
      </w:pPr>
      <w:r w:rsidRPr="00FD1973">
        <w:rPr>
          <w:i/>
          <w:iCs/>
          <w:spacing w:val="-5"/>
          <w:szCs w:val="18"/>
        </w:rPr>
        <w:t>Tecnica. Paura. Speranza</w:t>
      </w:r>
      <w:r w:rsidRPr="00FD1973">
        <w:rPr>
          <w:spacing w:val="-5"/>
          <w:szCs w:val="18"/>
        </w:rPr>
        <w:t xml:space="preserve"> (Materiali Bb [cfr. E. Mounier,</w:t>
      </w:r>
      <w:r w:rsidRPr="00FD1973">
        <w:rPr>
          <w:i/>
          <w:spacing w:val="-5"/>
          <w:szCs w:val="18"/>
        </w:rPr>
        <w:t xml:space="preserve"> La paura dell’artificiale</w:t>
      </w:r>
      <w:r w:rsidRPr="00FD1973">
        <w:rPr>
          <w:spacing w:val="-5"/>
          <w:szCs w:val="18"/>
        </w:rPr>
        <w:t xml:space="preserve">; M. Heidegger, </w:t>
      </w:r>
      <w:r w:rsidRPr="00FD1973">
        <w:rPr>
          <w:i/>
          <w:spacing w:val="-5"/>
          <w:szCs w:val="18"/>
        </w:rPr>
        <w:t>Lettera sull’umanismo</w:t>
      </w:r>
      <w:r w:rsidRPr="00FD1973">
        <w:rPr>
          <w:iCs/>
          <w:spacing w:val="-5"/>
          <w:szCs w:val="18"/>
        </w:rPr>
        <w:t xml:space="preserve">; R. Guardini, </w:t>
      </w:r>
      <w:r w:rsidRPr="00FD1973">
        <w:rPr>
          <w:i/>
          <w:spacing w:val="-5"/>
          <w:szCs w:val="18"/>
        </w:rPr>
        <w:t>Lettere dal lago di Como</w:t>
      </w:r>
      <w:r w:rsidRPr="00FD1973">
        <w:rPr>
          <w:spacing w:val="-5"/>
          <w:szCs w:val="18"/>
        </w:rPr>
        <w:t>]).</w:t>
      </w:r>
    </w:p>
    <w:p w14:paraId="7419F910" w14:textId="77777777" w:rsidR="004F63D3" w:rsidRPr="00FD1973" w:rsidRDefault="004F63D3" w:rsidP="004F63D3">
      <w:pPr>
        <w:pStyle w:val="Testo1"/>
        <w:numPr>
          <w:ilvl w:val="0"/>
          <w:numId w:val="5"/>
        </w:numPr>
        <w:spacing w:before="0"/>
        <w:ind w:left="284" w:hanging="284"/>
        <w:rPr>
          <w:spacing w:val="-5"/>
          <w:szCs w:val="18"/>
        </w:rPr>
      </w:pPr>
      <w:r w:rsidRPr="00FD1973">
        <w:rPr>
          <w:i/>
          <w:iCs/>
          <w:spacing w:val="-5"/>
          <w:szCs w:val="18"/>
        </w:rPr>
        <w:t>Mutanti virtuali?</w:t>
      </w:r>
      <w:r w:rsidRPr="00FD1973">
        <w:rPr>
          <w:spacing w:val="-5"/>
          <w:szCs w:val="18"/>
        </w:rPr>
        <w:t xml:space="preserve"> (Materiali Bb [F. Riva, </w:t>
      </w:r>
      <w:r w:rsidRPr="00FD1973">
        <w:rPr>
          <w:i/>
          <w:iCs/>
          <w:spacing w:val="-5"/>
          <w:szCs w:val="18"/>
        </w:rPr>
        <w:t>Il Volto e l’Interfaccia</w:t>
      </w:r>
      <w:r w:rsidRPr="00FD1973">
        <w:rPr>
          <w:spacing w:val="-5"/>
          <w:szCs w:val="18"/>
        </w:rPr>
        <w:t>].</w:t>
      </w:r>
    </w:p>
    <w:p w14:paraId="2374BF38" w14:textId="790432B3" w:rsidR="004F63D3" w:rsidRPr="00FD1973" w:rsidRDefault="004F63D3" w:rsidP="004F63D3">
      <w:pPr>
        <w:pStyle w:val="Testo1"/>
        <w:spacing w:before="0"/>
        <w:ind w:left="0" w:firstLine="0"/>
        <w:rPr>
          <w:spacing w:val="-5"/>
          <w:szCs w:val="18"/>
        </w:rPr>
      </w:pPr>
      <w:r w:rsidRPr="00FD1973">
        <w:rPr>
          <w:spacing w:val="-5"/>
          <w:szCs w:val="18"/>
        </w:rPr>
        <w:t>[</w:t>
      </w:r>
      <w:r w:rsidR="000B431E" w:rsidRPr="00FD1973">
        <w:rPr>
          <w:spacing w:val="-5"/>
          <w:szCs w:val="18"/>
        </w:rPr>
        <w:t>Examples of readings of your choice, including parts</w:t>
      </w:r>
      <w:r w:rsidRPr="00FD1973">
        <w:rPr>
          <w:spacing w:val="-5"/>
          <w:szCs w:val="18"/>
        </w:rPr>
        <w:t xml:space="preserve">: Butler; Ruskin; Heidegger; Jaspers; Marcel; Mounier; Guardini; Jonas; Anders; Boltanski; Galimberti; Gehlen; Maldonado] </w:t>
      </w:r>
    </w:p>
    <w:p w14:paraId="50D88A1B" w14:textId="0DA1222C" w:rsidR="004F63D3" w:rsidRPr="00FD1973" w:rsidRDefault="004F63D3" w:rsidP="004F63D3">
      <w:pPr>
        <w:spacing w:before="120" w:line="240" w:lineRule="exact"/>
        <w:rPr>
          <w:iCs/>
          <w:spacing w:val="-5"/>
          <w:sz w:val="18"/>
          <w:szCs w:val="18"/>
        </w:rPr>
      </w:pPr>
      <w:r w:rsidRPr="00FD1973">
        <w:rPr>
          <w:rFonts w:ascii="Times" w:eastAsia="MS Mincho" w:hAnsi="Times" w:cs="Times"/>
          <w:sz w:val="18"/>
          <w:szCs w:val="20"/>
        </w:rPr>
        <w:t>Modul</w:t>
      </w:r>
      <w:r w:rsidR="000B431E" w:rsidRPr="00FD1973">
        <w:rPr>
          <w:rFonts w:ascii="Times" w:eastAsia="MS Mincho" w:hAnsi="Times" w:cs="Times"/>
          <w:sz w:val="18"/>
          <w:szCs w:val="20"/>
        </w:rPr>
        <w:t>e</w:t>
      </w:r>
      <w:r w:rsidRPr="00FD1973">
        <w:rPr>
          <w:rFonts w:ascii="Times" w:eastAsia="MS Mincho" w:hAnsi="Times" w:cs="Times"/>
          <w:sz w:val="18"/>
          <w:szCs w:val="20"/>
        </w:rPr>
        <w:t xml:space="preserve"> A:</w:t>
      </w:r>
      <w:r w:rsidRPr="00FD1973">
        <w:rPr>
          <w:rFonts w:ascii="Times" w:eastAsia="MS Mincho" w:hAnsi="Times" w:cs="Times"/>
          <w:smallCaps/>
          <w:sz w:val="18"/>
          <w:szCs w:val="20"/>
        </w:rPr>
        <w:t xml:space="preserve"> </w:t>
      </w:r>
      <w:r w:rsidR="000B431E" w:rsidRPr="00FD1973">
        <w:rPr>
          <w:i/>
          <w:spacing w:val="-5"/>
          <w:sz w:val="18"/>
          <w:szCs w:val="18"/>
        </w:rPr>
        <w:t>Free Time</w:t>
      </w:r>
      <w:r w:rsidRPr="00FD1973">
        <w:rPr>
          <w:i/>
          <w:spacing w:val="-5"/>
          <w:sz w:val="18"/>
          <w:szCs w:val="18"/>
        </w:rPr>
        <w:t xml:space="preserve">. </w:t>
      </w:r>
      <w:r w:rsidR="000B431E" w:rsidRPr="00FD1973">
        <w:rPr>
          <w:i/>
          <w:spacing w:val="-5"/>
          <w:sz w:val="18"/>
          <w:szCs w:val="18"/>
        </w:rPr>
        <w:t>Party</w:t>
      </w:r>
      <w:r w:rsidRPr="00FD1973">
        <w:rPr>
          <w:i/>
          <w:spacing w:val="-5"/>
          <w:sz w:val="18"/>
          <w:szCs w:val="18"/>
        </w:rPr>
        <w:t>. G</w:t>
      </w:r>
      <w:r w:rsidR="000B431E" w:rsidRPr="00FD1973">
        <w:rPr>
          <w:i/>
          <w:spacing w:val="-5"/>
          <w:sz w:val="18"/>
          <w:szCs w:val="18"/>
        </w:rPr>
        <w:t>ame</w:t>
      </w:r>
      <w:r w:rsidRPr="00FD1973">
        <w:rPr>
          <w:i/>
          <w:spacing w:val="-5"/>
          <w:sz w:val="18"/>
          <w:szCs w:val="18"/>
        </w:rPr>
        <w:t>. Rit</w:t>
      </w:r>
      <w:r w:rsidR="000B431E" w:rsidRPr="00FD1973">
        <w:rPr>
          <w:i/>
          <w:spacing w:val="-5"/>
          <w:sz w:val="18"/>
          <w:szCs w:val="18"/>
        </w:rPr>
        <w:t>e</w:t>
      </w:r>
      <w:r w:rsidRPr="00FD1973">
        <w:rPr>
          <w:i/>
          <w:spacing w:val="-5"/>
          <w:sz w:val="18"/>
          <w:szCs w:val="18"/>
        </w:rPr>
        <w:t>. Sacrific</w:t>
      </w:r>
      <w:r w:rsidR="000B431E" w:rsidRPr="00FD1973">
        <w:rPr>
          <w:i/>
          <w:spacing w:val="-5"/>
          <w:sz w:val="18"/>
          <w:szCs w:val="18"/>
        </w:rPr>
        <w:t>e</w:t>
      </w:r>
    </w:p>
    <w:p w14:paraId="1E370195" w14:textId="77777777" w:rsidR="004F63D3" w:rsidRPr="00FD1973" w:rsidRDefault="004F63D3" w:rsidP="004F63D3">
      <w:pPr>
        <w:pStyle w:val="Paragrafoelenco"/>
        <w:numPr>
          <w:ilvl w:val="0"/>
          <w:numId w:val="4"/>
        </w:numPr>
        <w:ind w:left="284" w:hanging="284"/>
        <w:rPr>
          <w:rFonts w:ascii="Times" w:eastAsia="MS Mincho" w:hAnsi="Times" w:cs="Times"/>
          <w:smallCaps/>
          <w:sz w:val="18"/>
          <w:szCs w:val="20"/>
        </w:rPr>
      </w:pPr>
      <w:r w:rsidRPr="00FD1973">
        <w:rPr>
          <w:sz w:val="18"/>
        </w:rPr>
        <w:t>[4.]</w:t>
      </w:r>
      <w:r w:rsidRPr="00FD1973">
        <w:rPr>
          <w:i/>
          <w:sz w:val="18"/>
        </w:rPr>
        <w:t xml:space="preserve"> </w:t>
      </w:r>
      <w:r w:rsidRPr="00FD1973">
        <w:rPr>
          <w:i/>
          <w:spacing w:val="-5"/>
          <w:sz w:val="18"/>
          <w:szCs w:val="18"/>
        </w:rPr>
        <w:t xml:space="preserve">Tempo libero, festa, sballo, eccesso </w:t>
      </w:r>
      <w:r w:rsidRPr="00FD1973">
        <w:rPr>
          <w:sz w:val="18"/>
        </w:rPr>
        <w:t>(Materiali Bb).</w:t>
      </w:r>
      <w:r w:rsidRPr="00FD1973">
        <w:rPr>
          <w:i/>
          <w:sz w:val="18"/>
        </w:rPr>
        <w:t xml:space="preserve"> </w:t>
      </w:r>
    </w:p>
    <w:p w14:paraId="3F446774" w14:textId="77777777" w:rsidR="004F63D3" w:rsidRPr="00FD1973" w:rsidRDefault="004F63D3" w:rsidP="004F63D3">
      <w:pPr>
        <w:pStyle w:val="Paragrafoelenco"/>
        <w:numPr>
          <w:ilvl w:val="0"/>
          <w:numId w:val="4"/>
        </w:numPr>
        <w:ind w:left="284" w:hanging="284"/>
        <w:rPr>
          <w:rFonts w:ascii="Times" w:hAnsi="Times" w:cs="Times"/>
          <w:noProof/>
          <w:spacing w:val="-5"/>
          <w:sz w:val="18"/>
          <w:szCs w:val="18"/>
        </w:rPr>
      </w:pPr>
      <w:r w:rsidRPr="00FD1973">
        <w:rPr>
          <w:sz w:val="18"/>
        </w:rPr>
        <w:t>[5.]</w:t>
      </w:r>
      <w:r w:rsidRPr="00FD1973">
        <w:rPr>
          <w:i/>
          <w:sz w:val="18"/>
        </w:rPr>
        <w:t xml:space="preserve"> Senza scopo. Rito, gioco </w:t>
      </w:r>
      <w:r w:rsidRPr="00FD1973">
        <w:rPr>
          <w:sz w:val="18"/>
          <w:szCs w:val="18"/>
        </w:rPr>
        <w:t>(F. Riva-P. Sequeri</w:t>
      </w:r>
      <w:r w:rsidRPr="00FD1973">
        <w:rPr>
          <w:rFonts w:ascii="Times" w:hAnsi="Times" w:cs="Times"/>
          <w:noProof/>
          <w:spacing w:val="-5"/>
          <w:sz w:val="18"/>
          <w:szCs w:val="18"/>
        </w:rPr>
        <w:t xml:space="preserve">, </w:t>
      </w:r>
      <w:r w:rsidRPr="00FD1973">
        <w:rPr>
          <w:rFonts w:ascii="Times" w:hAnsi="Times" w:cs="Times"/>
          <w:i/>
          <w:noProof/>
          <w:spacing w:val="-5"/>
          <w:sz w:val="18"/>
          <w:szCs w:val="18"/>
        </w:rPr>
        <w:t>Segni della destinazione</w:t>
      </w:r>
      <w:r w:rsidRPr="00FD1973">
        <w:rPr>
          <w:rFonts w:ascii="Times" w:hAnsi="Times" w:cs="Times"/>
          <w:noProof/>
          <w:spacing w:val="-5"/>
          <w:sz w:val="18"/>
          <w:szCs w:val="18"/>
        </w:rPr>
        <w:t>, Cittadella, Assisi 2009, pp. 153-207: [cfr. pp. 297-351: Festa]</w:t>
      </w:r>
      <w:r w:rsidRPr="00FD1973">
        <w:rPr>
          <w:sz w:val="18"/>
          <w:szCs w:val="18"/>
        </w:rPr>
        <w:t xml:space="preserve"> Materiali Bb).</w:t>
      </w:r>
    </w:p>
    <w:p w14:paraId="3E419B11" w14:textId="77777777" w:rsidR="004F63D3" w:rsidRPr="00FD1973" w:rsidRDefault="004F63D3" w:rsidP="004F63D3">
      <w:pPr>
        <w:pStyle w:val="Paragrafoelenco"/>
        <w:numPr>
          <w:ilvl w:val="0"/>
          <w:numId w:val="4"/>
        </w:numPr>
        <w:ind w:left="284" w:hanging="284"/>
        <w:rPr>
          <w:sz w:val="18"/>
        </w:rPr>
      </w:pPr>
      <w:r w:rsidRPr="00FD1973">
        <w:rPr>
          <w:sz w:val="18"/>
        </w:rPr>
        <w:lastRenderedPageBreak/>
        <w:t xml:space="preserve">[6] </w:t>
      </w:r>
      <w:r w:rsidRPr="00FD1973">
        <w:rPr>
          <w:i/>
          <w:sz w:val="18"/>
        </w:rPr>
        <w:t>Logiche sacrificali</w:t>
      </w:r>
      <w:r w:rsidRPr="00FD1973">
        <w:rPr>
          <w:sz w:val="18"/>
        </w:rPr>
        <w:t xml:space="preserve"> (J.L. Nancy, </w:t>
      </w:r>
      <w:r w:rsidRPr="00FD1973">
        <w:rPr>
          <w:i/>
          <w:sz w:val="18"/>
        </w:rPr>
        <w:t>Un pensiero finito</w:t>
      </w:r>
      <w:r w:rsidRPr="00FD1973">
        <w:rPr>
          <w:sz w:val="18"/>
        </w:rPr>
        <w:t xml:space="preserve">, Marcos y Marcos, Milano 1992, pp. 213-263: L’insacrificabile; F. Riva-P. Sequeri, </w:t>
      </w:r>
      <w:r w:rsidRPr="00FD1973">
        <w:rPr>
          <w:i/>
          <w:sz w:val="18"/>
        </w:rPr>
        <w:t>Segni</w:t>
      </w:r>
      <w:r w:rsidRPr="00FD1973">
        <w:rPr>
          <w:sz w:val="18"/>
        </w:rPr>
        <w:t xml:space="preserve">, cit., pp. 239-295: Sacrificio). </w:t>
      </w:r>
    </w:p>
    <w:p w14:paraId="75E6B16A" w14:textId="72B54A34" w:rsidR="004F63D3" w:rsidRPr="00FD1973" w:rsidRDefault="004F63D3" w:rsidP="004F63D3">
      <w:pPr>
        <w:rPr>
          <w:sz w:val="18"/>
          <w:szCs w:val="18"/>
        </w:rPr>
      </w:pPr>
      <w:r w:rsidRPr="00FD1973">
        <w:rPr>
          <w:sz w:val="18"/>
          <w:szCs w:val="18"/>
        </w:rPr>
        <w:t>[E</w:t>
      </w:r>
      <w:r w:rsidR="000B431E" w:rsidRPr="00FD1973">
        <w:rPr>
          <w:sz w:val="18"/>
          <w:szCs w:val="18"/>
        </w:rPr>
        <w:t>xamples of readings of your choice, including parts</w:t>
      </w:r>
      <w:r w:rsidRPr="00FD1973">
        <w:rPr>
          <w:sz w:val="18"/>
          <w:szCs w:val="18"/>
        </w:rPr>
        <w:t xml:space="preserve">: Platone; Rousseau; </w:t>
      </w:r>
      <w:r w:rsidRPr="00FD1973">
        <w:rPr>
          <w:rFonts w:ascii="Times" w:hAnsi="Times" w:cs="Times"/>
          <w:noProof/>
          <w:spacing w:val="-5"/>
          <w:sz w:val="18"/>
          <w:szCs w:val="18"/>
        </w:rPr>
        <w:t xml:space="preserve">Kant; De Maistre; </w:t>
      </w:r>
      <w:r w:rsidRPr="00FD1973">
        <w:rPr>
          <w:sz w:val="18"/>
          <w:szCs w:val="18"/>
        </w:rPr>
        <w:t xml:space="preserve">Nietzsche; Dostoevskij; Wittgenstein; Gadamer; Adorno-Horkheimer; Marcuse; Guardini; </w:t>
      </w:r>
      <w:r w:rsidRPr="00FD1973">
        <w:rPr>
          <w:rFonts w:ascii="Times" w:hAnsi="Times" w:cs="Times"/>
          <w:noProof/>
          <w:spacing w:val="-5"/>
          <w:sz w:val="18"/>
          <w:szCs w:val="18"/>
        </w:rPr>
        <w:t xml:space="preserve">Scheler; Heidegger; Bloch; </w:t>
      </w:r>
      <w:r w:rsidRPr="00FD1973">
        <w:rPr>
          <w:sz w:val="18"/>
          <w:szCs w:val="18"/>
        </w:rPr>
        <w:t xml:space="preserve">Sartre; Freud; Bataille; Fink; </w:t>
      </w:r>
      <w:r w:rsidRPr="00FD1973">
        <w:rPr>
          <w:rFonts w:ascii="Times" w:hAnsi="Times" w:cs="Times"/>
          <w:noProof/>
          <w:spacing w:val="-5"/>
          <w:sz w:val="18"/>
          <w:szCs w:val="18"/>
        </w:rPr>
        <w:t>Girard; Jonas;</w:t>
      </w:r>
      <w:r w:rsidRPr="00FD1973">
        <w:rPr>
          <w:sz w:val="18"/>
          <w:szCs w:val="18"/>
        </w:rPr>
        <w:t xml:space="preserve"> Nancy]. </w:t>
      </w:r>
    </w:p>
    <w:p w14:paraId="2E313256" w14:textId="77777777" w:rsidR="0015494D" w:rsidRPr="00FD1973" w:rsidRDefault="0015494D" w:rsidP="0015494D">
      <w:pPr>
        <w:spacing w:before="120" w:line="240" w:lineRule="exact"/>
        <w:rPr>
          <w:rFonts w:ascii="Times" w:hAnsi="Times" w:cs="Times"/>
          <w:sz w:val="18"/>
          <w:szCs w:val="20"/>
        </w:rPr>
      </w:pPr>
      <w:r w:rsidRPr="00FD1973">
        <w:rPr>
          <w:rFonts w:ascii="Times" w:hAnsi="Times"/>
          <w:sz w:val="18"/>
          <w:szCs w:val="20"/>
        </w:rPr>
        <w:t xml:space="preserve">Possible materials and/or course packs. A tailored syllabus is possible for those who need one or are working on personal projects. </w:t>
      </w:r>
    </w:p>
    <w:p w14:paraId="3064C66A" w14:textId="77777777" w:rsidR="0015494D" w:rsidRPr="00FD1973" w:rsidRDefault="0015494D" w:rsidP="0015494D">
      <w:pPr>
        <w:spacing w:before="120" w:line="240" w:lineRule="exact"/>
        <w:rPr>
          <w:rFonts w:ascii="Times" w:hAnsi="Times" w:cs="Times"/>
          <w:sz w:val="18"/>
          <w:szCs w:val="20"/>
        </w:rPr>
      </w:pPr>
      <w:r w:rsidRPr="00FD1973">
        <w:rPr>
          <w:rFonts w:ascii="Times" w:hAnsi="Times"/>
          <w:i/>
          <w:sz w:val="18"/>
          <w:szCs w:val="20"/>
        </w:rPr>
        <w:t>Reading, assignments, papers, reports, etc.</w:t>
      </w:r>
    </w:p>
    <w:p w14:paraId="251C9AB0" w14:textId="77777777" w:rsidR="0015494D" w:rsidRPr="00FD1973" w:rsidRDefault="0015494D" w:rsidP="0015494D">
      <w:pPr>
        <w:spacing w:line="240" w:lineRule="exact"/>
        <w:rPr>
          <w:rFonts w:ascii="Times" w:hAnsi="Times" w:cs="Times"/>
          <w:sz w:val="18"/>
          <w:szCs w:val="20"/>
        </w:rPr>
      </w:pPr>
      <w:r w:rsidRPr="00FD1973">
        <w:rPr>
          <w:rFonts w:ascii="Times" w:hAnsi="Times"/>
          <w:sz w:val="18"/>
          <w:szCs w:val="20"/>
        </w:rPr>
        <w:t>Option of submitting an individual assignment with relative reading of student's choice, cross-curricular studies, summary sheets, courses and conferences, phenomenological studies, original papers (with option of class presentation). At least one</w:t>
      </w:r>
      <w:r w:rsidR="00923813" w:rsidRPr="00FD1973">
        <w:rPr>
          <w:rFonts w:ascii="Times" w:hAnsi="Times"/>
          <w:sz w:val="18"/>
          <w:szCs w:val="20"/>
        </w:rPr>
        <w:t xml:space="preserve"> option</w:t>
      </w:r>
      <w:r w:rsidRPr="00FD1973">
        <w:rPr>
          <w:rFonts w:ascii="Times" w:hAnsi="Times"/>
          <w:sz w:val="18"/>
          <w:szCs w:val="20"/>
        </w:rPr>
        <w:t xml:space="preserve"> of student's choice. Elements already on the syllabus </w:t>
      </w:r>
      <w:r w:rsidR="00923813" w:rsidRPr="00FD1973">
        <w:rPr>
          <w:rFonts w:ascii="Times" w:hAnsi="Times"/>
          <w:sz w:val="18"/>
          <w:szCs w:val="20"/>
        </w:rPr>
        <w:t>will be valid</w:t>
      </w:r>
      <w:r w:rsidRPr="00FD1973">
        <w:rPr>
          <w:rFonts w:ascii="Times" w:hAnsi="Times"/>
          <w:sz w:val="18"/>
          <w:szCs w:val="20"/>
        </w:rPr>
        <w:t xml:space="preserve"> if personalised.</w:t>
      </w:r>
    </w:p>
    <w:p w14:paraId="55672508" w14:textId="77777777" w:rsidR="00FF3212" w:rsidRPr="00FD1973" w:rsidRDefault="00FF3212" w:rsidP="00FF3212">
      <w:pPr>
        <w:spacing w:before="240" w:after="120"/>
        <w:rPr>
          <w:b/>
          <w:i/>
          <w:sz w:val="18"/>
        </w:rPr>
      </w:pPr>
      <w:r w:rsidRPr="00FD1973">
        <w:rPr>
          <w:b/>
          <w:i/>
          <w:sz w:val="18"/>
        </w:rPr>
        <w:t>TEACHING METHOD</w:t>
      </w:r>
    </w:p>
    <w:p w14:paraId="71048E9A" w14:textId="77777777" w:rsidR="00FF3212" w:rsidRPr="00FD1973" w:rsidRDefault="00FF3212" w:rsidP="00FF3212">
      <w:pPr>
        <w:pStyle w:val="Testo2"/>
        <w:rPr>
          <w:noProof w:val="0"/>
        </w:rPr>
      </w:pPr>
      <w:r w:rsidRPr="00FD1973">
        <w:rPr>
          <w:noProof w:val="0"/>
        </w:rPr>
        <w:t>Frontal lectures, online resources, guided reading and special events.</w:t>
      </w:r>
    </w:p>
    <w:p w14:paraId="56DF9CF6" w14:textId="77777777" w:rsidR="00FF3212" w:rsidRPr="00FD1973" w:rsidRDefault="00FF3212" w:rsidP="00FF3212">
      <w:pPr>
        <w:spacing w:before="240" w:after="120"/>
        <w:rPr>
          <w:b/>
          <w:i/>
          <w:sz w:val="18"/>
        </w:rPr>
      </w:pPr>
      <w:r w:rsidRPr="00FD1973">
        <w:rPr>
          <w:b/>
          <w:i/>
          <w:sz w:val="18"/>
        </w:rPr>
        <w:t>ASSESSMENT METHOD AND CRITERIA</w:t>
      </w:r>
    </w:p>
    <w:p w14:paraId="5B955C50" w14:textId="77777777" w:rsidR="00FF3212" w:rsidRPr="00FD1973" w:rsidRDefault="00FF3212" w:rsidP="00F60B47">
      <w:pPr>
        <w:pStyle w:val="Testo2"/>
        <w:rPr>
          <w:noProof w:val="0"/>
        </w:rPr>
      </w:pPr>
      <w:r w:rsidRPr="00FD1973">
        <w:rPr>
          <w:noProof w:val="0"/>
        </w:rPr>
        <w:t>The expected learning outcomes are reflected in the assessment criteria: capacity for knowledge and understanding (methodical and critical learning of the subject), ability to link and apply concepts and ideas (links between concepts, problems and situations), communication skills and language (mastery, presentation and explanation of concepts, issues and content), independence of judgement and ability to reinterpret (textual hermeneutics, personal research, expounding arguments including students’ own).</w:t>
      </w:r>
    </w:p>
    <w:p w14:paraId="0C0345D4" w14:textId="77777777" w:rsidR="0015494D" w:rsidRPr="00FD1973" w:rsidRDefault="00FF3212" w:rsidP="0015494D">
      <w:pPr>
        <w:pStyle w:val="Testo2"/>
        <w:spacing w:before="120"/>
        <w:rPr>
          <w:noProof w:val="0"/>
        </w:rPr>
      </w:pPr>
      <w:r w:rsidRPr="00FD1973">
        <w:rPr>
          <w:noProof w:val="0"/>
        </w:rPr>
        <w:t xml:space="preserve">Students will be assessed by means of an oral exam (after submitting papers in advance) on their overall understanding and detailed knowledge of: syllabus and bibliography, lectures and available materials (link: Blackboard; PPD). The final mark is out of 30 and will reflect accuracy and scope of answers (70%), capacity for making relevant arguments and discussing content effectively (30%): </w:t>
      </w:r>
      <w:r w:rsidRPr="00FD1973">
        <w:rPr>
          <w:i/>
          <w:iCs/>
          <w:noProof w:val="0"/>
        </w:rPr>
        <w:t xml:space="preserve">lode </w:t>
      </w:r>
      <w:r w:rsidRPr="00FD1973">
        <w:rPr>
          <w:noProof w:val="0"/>
        </w:rPr>
        <w:t>(honours) will be awarded for students who demonstrate an advanced ability to integrate information and capacity for independent thought. Interim exams [12 ECTS credits] are worth 60%.</w:t>
      </w:r>
    </w:p>
    <w:p w14:paraId="749A848B" w14:textId="77777777" w:rsidR="00FF3212" w:rsidRPr="00FD1973" w:rsidRDefault="00FF3212" w:rsidP="0015494D">
      <w:pPr>
        <w:pStyle w:val="Testo2"/>
        <w:spacing w:before="240" w:after="120"/>
        <w:ind w:firstLine="0"/>
        <w:rPr>
          <w:b/>
          <w:i/>
          <w:noProof w:val="0"/>
        </w:rPr>
      </w:pPr>
      <w:r w:rsidRPr="00FD1973">
        <w:rPr>
          <w:b/>
          <w:i/>
          <w:noProof w:val="0"/>
        </w:rPr>
        <w:t>NOTES AND PREREQUISITES</w:t>
      </w:r>
    </w:p>
    <w:p w14:paraId="66DBC0FB" w14:textId="77777777" w:rsidR="00FF3212" w:rsidRPr="00FD1973" w:rsidRDefault="00FF3212" w:rsidP="00FF3212">
      <w:pPr>
        <w:pStyle w:val="Testo2"/>
        <w:rPr>
          <w:noProof w:val="0"/>
        </w:rPr>
      </w:pPr>
      <w:r w:rsidRPr="00FD1973">
        <w:rPr>
          <w:noProof w:val="0"/>
        </w:rPr>
        <w:t>There are no prerequisites except, for the master's degree, those specified in the admission criteria.</w:t>
      </w:r>
    </w:p>
    <w:p w14:paraId="17873A06" w14:textId="77777777" w:rsidR="00C72ADD" w:rsidRPr="00FD1973" w:rsidRDefault="00C72ADD" w:rsidP="00C72ADD">
      <w:pPr>
        <w:shd w:val="clear" w:color="auto" w:fill="FFFFFF"/>
        <w:tabs>
          <w:tab w:val="clear" w:pos="284"/>
        </w:tabs>
        <w:spacing w:line="240" w:lineRule="auto"/>
        <w:ind w:firstLine="284"/>
        <w:jc w:val="left"/>
        <w:rPr>
          <w:rFonts w:eastAsia="Calibri"/>
          <w:color w:val="201F1E"/>
          <w:sz w:val="18"/>
        </w:rPr>
      </w:pPr>
      <w:r w:rsidRPr="00FD1973">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FD1973">
        <w:rPr>
          <w:color w:val="000000"/>
          <w:sz w:val="18"/>
        </w:rPr>
        <w:t xml:space="preserve"> beginning of the course,</w:t>
      </w:r>
      <w:r w:rsidRPr="00FD1973">
        <w:rPr>
          <w:color w:val="201F1E"/>
          <w:sz w:val="18"/>
        </w:rPr>
        <w:t xml:space="preserve"> so as to ensure the full achievement of the formative objectives set out in the study plans and, at the same time, the safety of our students.</w:t>
      </w:r>
    </w:p>
    <w:p w14:paraId="39C9ADAE" w14:textId="77777777" w:rsidR="00FD704D" w:rsidRPr="00FD1973" w:rsidRDefault="00FD704D" w:rsidP="00FD704D">
      <w:pPr>
        <w:pStyle w:val="Testo2"/>
        <w:rPr>
          <w:noProof w:val="0"/>
        </w:rPr>
      </w:pPr>
      <w:bookmarkStart w:id="1" w:name="_Hlk18846207"/>
      <w:bookmarkStart w:id="2" w:name="_Hlk18839278"/>
      <w:bookmarkStart w:id="3" w:name="_Hlk18839048"/>
    </w:p>
    <w:p w14:paraId="0918BA37" w14:textId="77777777" w:rsidR="00FD704D" w:rsidRDefault="00FD704D" w:rsidP="00FD704D">
      <w:pPr>
        <w:pStyle w:val="Testo2"/>
        <w:rPr>
          <w:noProof w:val="0"/>
        </w:rPr>
      </w:pPr>
      <w:r w:rsidRPr="00FD1973">
        <w:rPr>
          <w:noProof w:val="0"/>
        </w:rPr>
        <w:t>Further information can be found on the lecturer's webpage at http://docenti.unicatt.it/web/searchByName.do?language=ENG or on the Faculty notice board</w:t>
      </w:r>
      <w:bookmarkEnd w:id="1"/>
      <w:r w:rsidRPr="00FD1973">
        <w:rPr>
          <w:noProof w:val="0"/>
        </w:rPr>
        <w:t>.</w:t>
      </w:r>
      <w:bookmarkEnd w:id="2"/>
    </w:p>
    <w:bookmarkEnd w:id="3"/>
    <w:p w14:paraId="14AC86D5" w14:textId="77777777" w:rsidR="00FF3212" w:rsidRPr="00D01B4E" w:rsidRDefault="00FF3212" w:rsidP="00FD704D">
      <w:pPr>
        <w:pStyle w:val="Testo2"/>
        <w:spacing w:before="120"/>
        <w:rPr>
          <w:noProof w:val="0"/>
          <w:szCs w:val="18"/>
        </w:rPr>
      </w:pPr>
    </w:p>
    <w:sectPr w:rsidR="00FF3212" w:rsidRPr="00D01B4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523"/>
    <w:multiLevelType w:val="hybridMultilevel"/>
    <w:tmpl w:val="E9A64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156976"/>
    <w:multiLevelType w:val="hybridMultilevel"/>
    <w:tmpl w:val="CB749B9A"/>
    <w:lvl w:ilvl="0" w:tplc="05140DEE">
      <w:start w:val="1"/>
      <w:numFmt w:val="decimal"/>
      <w:lvlText w:val="%1."/>
      <w:lvlJc w:val="left"/>
      <w:pPr>
        <w:ind w:left="644" w:hanging="360"/>
      </w:pPr>
      <w:rPr>
        <w:rFonts w:ascii="Times" w:eastAsia="Times New Roman" w:hAnsi="Times"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8281C14"/>
    <w:multiLevelType w:val="hybridMultilevel"/>
    <w:tmpl w:val="03EA8BE4"/>
    <w:lvl w:ilvl="0" w:tplc="C7186BFC">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3" w15:restartNumberingAfterBreak="0">
    <w:nsid w:val="65E54C76"/>
    <w:multiLevelType w:val="hybridMultilevel"/>
    <w:tmpl w:val="117E6714"/>
    <w:lvl w:ilvl="0" w:tplc="E0408FFC">
      <w:start w:val="1"/>
      <w:numFmt w:val="decimal"/>
      <w:lvlText w:val="%1."/>
      <w:lvlJc w:val="left"/>
      <w:pPr>
        <w:ind w:left="645" w:hanging="360"/>
      </w:pPr>
      <w:rPr>
        <w:rFonts w:ascii="Times" w:hAnsi="Time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4" w15:restartNumberingAfterBreak="0">
    <w:nsid w:val="69EC4059"/>
    <w:multiLevelType w:val="hybridMultilevel"/>
    <w:tmpl w:val="BE66E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8295469">
    <w:abstractNumId w:val="2"/>
  </w:num>
  <w:num w:numId="2" w16cid:durableId="967784938">
    <w:abstractNumId w:val="3"/>
  </w:num>
  <w:num w:numId="3" w16cid:durableId="293023306">
    <w:abstractNumId w:val="0"/>
  </w:num>
  <w:num w:numId="4" w16cid:durableId="615600431">
    <w:abstractNumId w:val="4"/>
  </w:num>
  <w:num w:numId="5" w16cid:durableId="1618297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12"/>
    <w:rsid w:val="000B431E"/>
    <w:rsid w:val="0015494D"/>
    <w:rsid w:val="00187B99"/>
    <w:rsid w:val="002014DD"/>
    <w:rsid w:val="00241E3A"/>
    <w:rsid w:val="002C6AD4"/>
    <w:rsid w:val="002D5E17"/>
    <w:rsid w:val="003026B3"/>
    <w:rsid w:val="00357189"/>
    <w:rsid w:val="00392915"/>
    <w:rsid w:val="004572E1"/>
    <w:rsid w:val="004D1217"/>
    <w:rsid w:val="004D6008"/>
    <w:rsid w:val="004F0DF0"/>
    <w:rsid w:val="004F63D3"/>
    <w:rsid w:val="00553602"/>
    <w:rsid w:val="00562D23"/>
    <w:rsid w:val="00632CD4"/>
    <w:rsid w:val="00640794"/>
    <w:rsid w:val="00686937"/>
    <w:rsid w:val="006D09E9"/>
    <w:rsid w:val="006F0F70"/>
    <w:rsid w:val="006F1772"/>
    <w:rsid w:val="006F603D"/>
    <w:rsid w:val="00700EA0"/>
    <w:rsid w:val="007C7B2F"/>
    <w:rsid w:val="007D5AAE"/>
    <w:rsid w:val="008249B1"/>
    <w:rsid w:val="00890C77"/>
    <w:rsid w:val="008942E7"/>
    <w:rsid w:val="008A1204"/>
    <w:rsid w:val="008F6B75"/>
    <w:rsid w:val="00900CCA"/>
    <w:rsid w:val="00923813"/>
    <w:rsid w:val="00924B77"/>
    <w:rsid w:val="00924F17"/>
    <w:rsid w:val="00940DA2"/>
    <w:rsid w:val="00941F86"/>
    <w:rsid w:val="00975FB2"/>
    <w:rsid w:val="00981D7B"/>
    <w:rsid w:val="009A591A"/>
    <w:rsid w:val="009B68D8"/>
    <w:rsid w:val="009C07AF"/>
    <w:rsid w:val="009E055C"/>
    <w:rsid w:val="00A74F6F"/>
    <w:rsid w:val="00AD7557"/>
    <w:rsid w:val="00B1168E"/>
    <w:rsid w:val="00B50C5D"/>
    <w:rsid w:val="00B51253"/>
    <w:rsid w:val="00B525CC"/>
    <w:rsid w:val="00B957CB"/>
    <w:rsid w:val="00C40873"/>
    <w:rsid w:val="00C61E6F"/>
    <w:rsid w:val="00C72ADD"/>
    <w:rsid w:val="00D01B4E"/>
    <w:rsid w:val="00D404F2"/>
    <w:rsid w:val="00D93DEC"/>
    <w:rsid w:val="00E607E6"/>
    <w:rsid w:val="00EF2337"/>
    <w:rsid w:val="00EF69F6"/>
    <w:rsid w:val="00F27E82"/>
    <w:rsid w:val="00F3107A"/>
    <w:rsid w:val="00F60B47"/>
    <w:rsid w:val="00FD1973"/>
    <w:rsid w:val="00FD704D"/>
    <w:rsid w:val="00FF24BB"/>
    <w:rsid w:val="00FF32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0C1D2"/>
  <w15:docId w15:val="{11C6B70C-FFF3-4AA5-946C-7BB496C4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F3212"/>
    <w:pPr>
      <w:spacing w:line="240" w:lineRule="exact"/>
      <w:ind w:left="720"/>
      <w:contextualSpacing/>
    </w:pPr>
  </w:style>
  <w:style w:type="character" w:styleId="Collegamentoipertestuale">
    <w:name w:val="Hyperlink"/>
    <w:basedOn w:val="Carpredefinitoparagrafo"/>
    <w:unhideWhenUsed/>
    <w:rsid w:val="00FF3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ADC2-467E-4BCF-8AC1-A29D543D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706</Words>
  <Characters>4259</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2003-03-27T10:42:00Z</cp:lastPrinted>
  <dcterms:created xsi:type="dcterms:W3CDTF">2022-08-27T10:28:00Z</dcterms:created>
  <dcterms:modified xsi:type="dcterms:W3CDTF">2023-01-16T08:47:00Z</dcterms:modified>
</cp:coreProperties>
</file>