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B965" w14:textId="77777777" w:rsidR="003F0C07" w:rsidRDefault="00724942">
      <w:pPr>
        <w:pStyle w:val="Titolo1"/>
      </w:pPr>
      <w:r>
        <w:t xml:space="preserve">Accounting and fundraising </w:t>
      </w:r>
    </w:p>
    <w:p w14:paraId="4F5C0F23" w14:textId="77777777" w:rsidR="003F0C07" w:rsidRDefault="00724942">
      <w:pPr>
        <w:pStyle w:val="Titolo2"/>
      </w:pPr>
      <w:r>
        <w:t xml:space="preserve">Prof. Elena </w:t>
      </w:r>
      <w:proofErr w:type="spellStart"/>
      <w:r>
        <w:t>Cantù</w:t>
      </w:r>
      <w:proofErr w:type="spellEnd"/>
      <w:r>
        <w:t xml:space="preserve">; Prof. Agnese </w:t>
      </w:r>
      <w:proofErr w:type="spellStart"/>
      <w:r>
        <w:t>Agrizzi</w:t>
      </w:r>
      <w:proofErr w:type="spellEnd"/>
    </w:p>
    <w:p w14:paraId="24FCFD2C" w14:textId="77777777" w:rsidR="00384792" w:rsidRPr="00BF13AD" w:rsidRDefault="00384792" w:rsidP="00384792">
      <w:pPr>
        <w:spacing w:before="240"/>
        <w:rPr>
          <w:sz w:val="18"/>
          <w:lang w:val="en-US"/>
        </w:rPr>
      </w:pPr>
      <w:r w:rsidRPr="00BF13AD">
        <w:rPr>
          <w:sz w:val="18"/>
          <w:lang w:val="en-US"/>
        </w:rPr>
        <w:t xml:space="preserve">[Il </w:t>
      </w:r>
      <w:proofErr w:type="spellStart"/>
      <w:r w:rsidRPr="00BF13AD">
        <w:rPr>
          <w:sz w:val="18"/>
          <w:lang w:val="en-US"/>
        </w:rPr>
        <w:t>programma</w:t>
      </w:r>
      <w:proofErr w:type="spellEnd"/>
      <w:r w:rsidRPr="00BF13AD">
        <w:rPr>
          <w:sz w:val="18"/>
          <w:lang w:val="en-US"/>
        </w:rPr>
        <w:t xml:space="preserve"> è </w:t>
      </w:r>
      <w:proofErr w:type="spellStart"/>
      <w:r w:rsidRPr="00BF13AD">
        <w:rPr>
          <w:sz w:val="18"/>
          <w:lang w:val="en-US"/>
        </w:rPr>
        <w:t>mutuato</w:t>
      </w:r>
      <w:proofErr w:type="spellEnd"/>
      <w:r w:rsidRPr="00BF13AD">
        <w:rPr>
          <w:sz w:val="18"/>
          <w:lang w:val="en-US"/>
        </w:rPr>
        <w:t xml:space="preserve"> con la </w:t>
      </w:r>
      <w:proofErr w:type="spellStart"/>
      <w:r w:rsidRPr="00BF13AD">
        <w:rPr>
          <w:sz w:val="18"/>
          <w:lang w:val="en-US"/>
        </w:rPr>
        <w:t>denominazione</w:t>
      </w:r>
      <w:proofErr w:type="spellEnd"/>
      <w:r w:rsidRPr="00BF13AD">
        <w:rPr>
          <w:sz w:val="18"/>
          <w:lang w:val="en-US"/>
        </w:rPr>
        <w:t xml:space="preserve">: </w:t>
      </w:r>
      <w:r w:rsidRPr="00BF13AD">
        <w:rPr>
          <w:i/>
          <w:sz w:val="18"/>
          <w:lang w:val="en-US"/>
        </w:rPr>
        <w:t>Accounting and fundraising in the arts</w:t>
      </w:r>
      <w:r w:rsidRPr="00BF13AD">
        <w:rPr>
          <w:sz w:val="18"/>
          <w:lang w:val="en-US"/>
        </w:rPr>
        <w:t>]</w:t>
      </w:r>
    </w:p>
    <w:p w14:paraId="1A00FCD8" w14:textId="77777777" w:rsidR="003F0C07" w:rsidRDefault="00724942">
      <w:pPr>
        <w:pStyle w:val="Titolo3"/>
        <w:rPr>
          <w:b/>
          <w:bCs/>
        </w:rPr>
      </w:pPr>
      <w:r>
        <w:rPr>
          <w:b/>
          <w:bCs/>
        </w:rPr>
        <w:t>COURSE AIMS AND INTENDED LEARNING OUTCOMES</w:t>
      </w:r>
    </w:p>
    <w:p w14:paraId="32F0A630" w14:textId="77777777" w:rsidR="003F0C07" w:rsidRDefault="00724942">
      <w:pPr>
        <w:widowControl w:val="0"/>
        <w:rPr>
          <w:lang w:val="en-US"/>
        </w:rPr>
      </w:pPr>
      <w:r>
        <w:rPr>
          <w:lang w:val="en-US"/>
        </w:rPr>
        <w:t xml:space="preserve">The course’s overall objective is to present the fundamentals of financial management and reporting, with specific reference to arts and cultural organizations. The course looks at both how financial resources are used, as well as how they are raised. The course is divided into two inter-related modules. In the first module students are expected to learn how to prepare, use and interpret general-purpose financial statements and other forms of performance disclosure in the art and cultural sector. The second module introduces students to the fundamentals of fundraising for arts and cultural organizations. Students are provided with both theoretical insights and practical skills that help them to design, implement and evaluate fundraising campaigns. </w:t>
      </w:r>
    </w:p>
    <w:p w14:paraId="5524505C" w14:textId="77777777" w:rsidR="003F0C07" w:rsidRDefault="00724942">
      <w:pPr>
        <w:tabs>
          <w:tab w:val="clear" w:pos="284"/>
        </w:tabs>
        <w:spacing w:before="120"/>
        <w:rPr>
          <w:lang w:val="en-US"/>
        </w:rPr>
      </w:pPr>
      <w:r>
        <w:rPr>
          <w:lang w:val="en-US"/>
        </w:rPr>
        <w:t>At the end of the first module, students will be:</w:t>
      </w:r>
    </w:p>
    <w:p w14:paraId="6D2BB9DA" w14:textId="77777777" w:rsidR="003F0C07" w:rsidRDefault="00724942">
      <w:pPr>
        <w:tabs>
          <w:tab w:val="clear" w:pos="284"/>
        </w:tabs>
        <w:ind w:left="284" w:hanging="284"/>
        <w:rPr>
          <w:lang w:val="en-US"/>
        </w:rPr>
      </w:pPr>
      <w:r>
        <w:rPr>
          <w:lang w:val="en-US"/>
        </w:rPr>
        <w:t>–</w:t>
      </w:r>
      <w:r>
        <w:rPr>
          <w:lang w:val="en-US"/>
        </w:rPr>
        <w:tab/>
        <w:t xml:space="preserve">knowledgeable about the purposes, concepts, standards, and techniques of financial and non-financial performance measurement and disclosure in arts and cultural </w:t>
      </w:r>
      <w:proofErr w:type="gramStart"/>
      <w:r>
        <w:rPr>
          <w:lang w:val="en-US"/>
        </w:rPr>
        <w:t>organizations;</w:t>
      </w:r>
      <w:proofErr w:type="gramEnd"/>
    </w:p>
    <w:p w14:paraId="4185D7A2" w14:textId="77777777" w:rsidR="003F0C07" w:rsidRDefault="00724942">
      <w:pPr>
        <w:tabs>
          <w:tab w:val="clear" w:pos="284"/>
        </w:tabs>
        <w:ind w:left="284" w:hanging="284"/>
        <w:rPr>
          <w:lang w:val="en-US"/>
        </w:rPr>
      </w:pPr>
      <w:r>
        <w:rPr>
          <w:lang w:val="en-US"/>
        </w:rPr>
        <w:t>–</w:t>
      </w:r>
      <w:r>
        <w:rPr>
          <w:lang w:val="en-US"/>
        </w:rPr>
        <w:tab/>
        <w:t xml:space="preserve">able to read and interpret the annual reports of arts and cultural </w:t>
      </w:r>
      <w:proofErr w:type="gramStart"/>
      <w:r>
        <w:rPr>
          <w:lang w:val="en-US"/>
        </w:rPr>
        <w:t>organizations;</w:t>
      </w:r>
      <w:proofErr w:type="gramEnd"/>
    </w:p>
    <w:p w14:paraId="46AE2A02" w14:textId="77777777" w:rsidR="003F0C07" w:rsidRDefault="00724942">
      <w:pPr>
        <w:tabs>
          <w:tab w:val="clear" w:pos="284"/>
        </w:tabs>
        <w:ind w:left="284" w:hanging="284"/>
        <w:rPr>
          <w:lang w:val="en-US"/>
        </w:rPr>
      </w:pPr>
      <w:r>
        <w:rPr>
          <w:lang w:val="en-US"/>
        </w:rPr>
        <w:t>–</w:t>
      </w:r>
      <w:r>
        <w:rPr>
          <w:lang w:val="en-US"/>
        </w:rPr>
        <w:tab/>
        <w:t xml:space="preserve">able to use annual reports to identify key performance indicators (financial and nonfinancial) for arts and cultural organizations to gain a general understanding of their financial position and overall </w:t>
      </w:r>
      <w:proofErr w:type="gramStart"/>
      <w:r>
        <w:rPr>
          <w:lang w:val="en-US"/>
        </w:rPr>
        <w:t>performance;</w:t>
      </w:r>
      <w:proofErr w:type="gramEnd"/>
    </w:p>
    <w:p w14:paraId="228E657F" w14:textId="77777777" w:rsidR="003F0C07" w:rsidRDefault="00724942">
      <w:pPr>
        <w:tabs>
          <w:tab w:val="clear" w:pos="284"/>
        </w:tabs>
        <w:ind w:left="284" w:hanging="284"/>
        <w:rPr>
          <w:lang w:val="en-US"/>
        </w:rPr>
      </w:pPr>
      <w:r>
        <w:rPr>
          <w:lang w:val="en-US"/>
        </w:rPr>
        <w:t>–</w:t>
      </w:r>
      <w:r>
        <w:rPr>
          <w:lang w:val="en-US"/>
        </w:rPr>
        <w:tab/>
        <w:t xml:space="preserve">familiar with financial accounting terminology and able to communicate financial and non-financial </w:t>
      </w:r>
      <w:proofErr w:type="gramStart"/>
      <w:r>
        <w:rPr>
          <w:lang w:val="en-US"/>
        </w:rPr>
        <w:t>results;</w:t>
      </w:r>
      <w:proofErr w:type="gramEnd"/>
    </w:p>
    <w:p w14:paraId="4BD879A6" w14:textId="77777777" w:rsidR="003F0C07" w:rsidRDefault="00724942">
      <w:pPr>
        <w:tabs>
          <w:tab w:val="clear" w:pos="284"/>
        </w:tabs>
        <w:ind w:left="284" w:hanging="284"/>
        <w:rPr>
          <w:lang w:val="en-US"/>
        </w:rPr>
      </w:pPr>
      <w:r>
        <w:rPr>
          <w:lang w:val="en-US"/>
        </w:rPr>
        <w:t>–</w:t>
      </w:r>
      <w:r>
        <w:rPr>
          <w:lang w:val="en-US"/>
        </w:rPr>
        <w:tab/>
        <w:t>equipped with the knowledge basis and capacity to tackle more advanced accounting topics.</w:t>
      </w:r>
    </w:p>
    <w:p w14:paraId="4ABFBE34" w14:textId="77777777" w:rsidR="003F0C07" w:rsidRDefault="00724942">
      <w:pPr>
        <w:tabs>
          <w:tab w:val="clear" w:pos="284"/>
        </w:tabs>
        <w:spacing w:before="120"/>
        <w:rPr>
          <w:lang w:val="en-US"/>
        </w:rPr>
      </w:pPr>
      <w:r>
        <w:rPr>
          <w:lang w:val="en-US"/>
        </w:rPr>
        <w:t>At the end of the second module, students will be:</w:t>
      </w:r>
    </w:p>
    <w:p w14:paraId="38F0B61F" w14:textId="77777777" w:rsidR="003F0C07" w:rsidRDefault="00724942">
      <w:pPr>
        <w:tabs>
          <w:tab w:val="clear" w:pos="284"/>
        </w:tabs>
        <w:ind w:left="284" w:hanging="284"/>
        <w:rPr>
          <w:lang w:val="en-US"/>
        </w:rPr>
      </w:pPr>
      <w:r>
        <w:rPr>
          <w:lang w:val="en-US"/>
        </w:rPr>
        <w:t>–</w:t>
      </w:r>
      <w:r>
        <w:rPr>
          <w:lang w:val="en-US"/>
        </w:rPr>
        <w:tab/>
        <w:t xml:space="preserve">knowledgeable about the fundamentals of fundraising for arts and cultural organizations, in terms of current developments, role of public and private contributors, fundraising </w:t>
      </w:r>
      <w:proofErr w:type="gramStart"/>
      <w:r>
        <w:rPr>
          <w:lang w:val="en-US"/>
        </w:rPr>
        <w:t>techniques;</w:t>
      </w:r>
      <w:proofErr w:type="gramEnd"/>
    </w:p>
    <w:p w14:paraId="058785F4" w14:textId="77777777" w:rsidR="003F0C07" w:rsidRDefault="00724942">
      <w:pPr>
        <w:tabs>
          <w:tab w:val="clear" w:pos="284"/>
        </w:tabs>
        <w:ind w:left="284" w:hanging="284"/>
        <w:rPr>
          <w:lang w:val="en-US"/>
        </w:rPr>
      </w:pPr>
      <w:r>
        <w:rPr>
          <w:lang w:val="en-US"/>
        </w:rPr>
        <w:t>–</w:t>
      </w:r>
      <w:r>
        <w:rPr>
          <w:lang w:val="en-US"/>
        </w:rPr>
        <w:tab/>
        <w:t xml:space="preserve">able to design, implement and evaluate fundraising plans and crowdfunding </w:t>
      </w:r>
      <w:proofErr w:type="gramStart"/>
      <w:r>
        <w:rPr>
          <w:lang w:val="en-US"/>
        </w:rPr>
        <w:t>campaigns;</w:t>
      </w:r>
      <w:proofErr w:type="gramEnd"/>
    </w:p>
    <w:p w14:paraId="3B2A8814" w14:textId="77777777" w:rsidR="003F0C07" w:rsidRDefault="00724942">
      <w:pPr>
        <w:tabs>
          <w:tab w:val="clear" w:pos="284"/>
        </w:tabs>
        <w:ind w:left="284" w:hanging="284"/>
        <w:rPr>
          <w:lang w:val="en-US"/>
        </w:rPr>
      </w:pPr>
      <w:r>
        <w:rPr>
          <w:lang w:val="en-US"/>
        </w:rPr>
        <w:t>–</w:t>
      </w:r>
      <w:r>
        <w:rPr>
          <w:lang w:val="en-US"/>
        </w:rPr>
        <w:tab/>
        <w:t>able to use analytical skills to adapt fundraising plans to changing conditions (</w:t>
      </w:r>
      <w:proofErr w:type="gramStart"/>
      <w:r>
        <w:rPr>
          <w:lang w:val="en-US"/>
        </w:rPr>
        <w:t>e.g.</w:t>
      </w:r>
      <w:proofErr w:type="gramEnd"/>
      <w:r>
        <w:rPr>
          <w:lang w:val="en-US"/>
        </w:rPr>
        <w:t xml:space="preserve"> target, budget);</w:t>
      </w:r>
    </w:p>
    <w:p w14:paraId="69B34812" w14:textId="77777777" w:rsidR="003F0C07" w:rsidRDefault="00724942">
      <w:pPr>
        <w:tabs>
          <w:tab w:val="clear" w:pos="284"/>
        </w:tabs>
        <w:ind w:left="284" w:hanging="284"/>
        <w:rPr>
          <w:lang w:val="en-US"/>
        </w:rPr>
      </w:pPr>
      <w:r>
        <w:rPr>
          <w:lang w:val="en-US"/>
        </w:rPr>
        <w:lastRenderedPageBreak/>
        <w:t>–</w:t>
      </w:r>
      <w:r>
        <w:rPr>
          <w:lang w:val="en-US"/>
        </w:rPr>
        <w:tab/>
        <w:t xml:space="preserve">familiar with fundraising terminology and able to communicate fundraising plans and </w:t>
      </w:r>
      <w:proofErr w:type="gramStart"/>
      <w:r>
        <w:rPr>
          <w:lang w:val="en-US"/>
        </w:rPr>
        <w:t>campaigns;</w:t>
      </w:r>
      <w:proofErr w:type="gramEnd"/>
    </w:p>
    <w:p w14:paraId="1DE0CE75" w14:textId="77777777" w:rsidR="003F0C07" w:rsidRDefault="00724942">
      <w:pPr>
        <w:tabs>
          <w:tab w:val="clear" w:pos="284"/>
        </w:tabs>
        <w:ind w:left="284" w:hanging="284"/>
        <w:rPr>
          <w:lang w:val="en-US"/>
        </w:rPr>
      </w:pPr>
      <w:r>
        <w:rPr>
          <w:lang w:val="en-US"/>
        </w:rPr>
        <w:t>–</w:t>
      </w:r>
      <w:r>
        <w:rPr>
          <w:lang w:val="en-US"/>
        </w:rPr>
        <w:tab/>
        <w:t>equipped with the knowledge basis and capacity to tackle more advanced fundraising topics.</w:t>
      </w:r>
    </w:p>
    <w:p w14:paraId="545D11E7" w14:textId="77777777" w:rsidR="003F0C07" w:rsidRDefault="00724942">
      <w:pPr>
        <w:spacing w:before="240" w:after="120"/>
        <w:rPr>
          <w:b/>
          <w:bCs/>
          <w:i/>
          <w:iCs/>
          <w:sz w:val="18"/>
          <w:szCs w:val="18"/>
          <w:lang w:val="en-US"/>
        </w:rPr>
      </w:pPr>
      <w:r>
        <w:rPr>
          <w:b/>
          <w:bCs/>
          <w:i/>
          <w:iCs/>
          <w:sz w:val="18"/>
          <w:szCs w:val="18"/>
          <w:lang w:val="en-US"/>
        </w:rPr>
        <w:t>COURSE CONTENT</w:t>
      </w:r>
    </w:p>
    <w:p w14:paraId="1184BBFD" w14:textId="77777777" w:rsidR="003F0C07" w:rsidRDefault="00724942">
      <w:pPr>
        <w:spacing w:before="120"/>
        <w:rPr>
          <w:smallCaps/>
          <w:sz w:val="18"/>
          <w:szCs w:val="18"/>
          <w:lang w:val="en-US"/>
        </w:rPr>
      </w:pPr>
      <w:r>
        <w:rPr>
          <w:smallCaps/>
          <w:sz w:val="18"/>
          <w:szCs w:val="18"/>
          <w:lang w:val="en-US"/>
        </w:rPr>
        <w:t xml:space="preserve">Module I: </w:t>
      </w:r>
      <w:r>
        <w:rPr>
          <w:i/>
          <w:iCs/>
          <w:lang w:val="en-US"/>
        </w:rPr>
        <w:t>Accounting</w:t>
      </w:r>
      <w:r>
        <w:rPr>
          <w:smallCaps/>
          <w:sz w:val="18"/>
          <w:szCs w:val="18"/>
          <w:lang w:val="en-US"/>
        </w:rPr>
        <w:t xml:space="preserve"> (</w:t>
      </w:r>
      <w:r>
        <w:rPr>
          <w:lang w:val="en-US"/>
        </w:rPr>
        <w:t xml:space="preserve">Prof. Elena </w:t>
      </w:r>
      <w:proofErr w:type="spellStart"/>
      <w:r>
        <w:rPr>
          <w:lang w:val="en-US"/>
        </w:rPr>
        <w:t>Cantù</w:t>
      </w:r>
      <w:proofErr w:type="spellEnd"/>
      <w:r>
        <w:rPr>
          <w:smallCaps/>
          <w:sz w:val="18"/>
          <w:szCs w:val="18"/>
          <w:lang w:val="en-US"/>
        </w:rPr>
        <w:t>)</w:t>
      </w:r>
    </w:p>
    <w:p w14:paraId="4E50527A" w14:textId="061F57A1" w:rsidR="005023A7" w:rsidRDefault="00724942" w:rsidP="005023A7">
      <w:pPr>
        <w:rPr>
          <w:lang w:val="en-US"/>
        </w:rPr>
      </w:pPr>
      <w:r>
        <w:rPr>
          <w:lang w:val="en-US"/>
        </w:rPr>
        <w:t xml:space="preserve">Module I </w:t>
      </w:r>
      <w:proofErr w:type="gramStart"/>
      <w:r w:rsidR="005023A7">
        <w:rPr>
          <w:lang w:val="en-US"/>
        </w:rPr>
        <w:t>provides</w:t>
      </w:r>
      <w:proofErr w:type="gramEnd"/>
      <w:r w:rsidR="005023A7">
        <w:rPr>
          <w:lang w:val="en-US"/>
        </w:rPr>
        <w:t xml:space="preserve"> the basics for </w:t>
      </w:r>
      <w:r w:rsidR="005023A7" w:rsidRPr="005023A7">
        <w:rPr>
          <w:lang w:val="en-US"/>
        </w:rPr>
        <w:t>prepar</w:t>
      </w:r>
      <w:r w:rsidR="005023A7">
        <w:rPr>
          <w:lang w:val="en-US"/>
        </w:rPr>
        <w:t>ing</w:t>
      </w:r>
      <w:r w:rsidR="005023A7" w:rsidRPr="005023A7">
        <w:rPr>
          <w:lang w:val="en-US"/>
        </w:rPr>
        <w:t>, us</w:t>
      </w:r>
      <w:r w:rsidR="005023A7">
        <w:rPr>
          <w:lang w:val="en-US"/>
        </w:rPr>
        <w:t>ing</w:t>
      </w:r>
      <w:r w:rsidR="005023A7" w:rsidRPr="005023A7">
        <w:rPr>
          <w:lang w:val="en-US"/>
        </w:rPr>
        <w:t xml:space="preserve"> and interpret</w:t>
      </w:r>
      <w:r w:rsidR="005023A7">
        <w:rPr>
          <w:lang w:val="en-US"/>
        </w:rPr>
        <w:t>ing</w:t>
      </w:r>
      <w:r w:rsidR="005023A7" w:rsidRPr="005023A7">
        <w:rPr>
          <w:lang w:val="en-US"/>
        </w:rPr>
        <w:t xml:space="preserve"> general-purpose financial statements and other forms of performance disclosure in the art and cultural sector</w:t>
      </w:r>
      <w:r w:rsidR="005023A7">
        <w:rPr>
          <w:lang w:val="en-US"/>
        </w:rPr>
        <w:t>. The program is structured around the following topics:</w:t>
      </w:r>
    </w:p>
    <w:p w14:paraId="449F5D4D" w14:textId="12C5EE36" w:rsidR="003F0C07" w:rsidRPr="005023A7" w:rsidRDefault="005023A7" w:rsidP="005023A7">
      <w:pPr>
        <w:pStyle w:val="Paragrafoelenco"/>
        <w:widowControl w:val="0"/>
        <w:numPr>
          <w:ilvl w:val="0"/>
          <w:numId w:val="4"/>
        </w:numPr>
        <w:spacing w:after="0" w:line="240" w:lineRule="exact"/>
        <w:rPr>
          <w:rFonts w:ascii="Times Roman" w:hAnsi="Times Roman"/>
          <w:sz w:val="20"/>
          <w:szCs w:val="20"/>
        </w:rPr>
      </w:pPr>
      <w:r w:rsidRPr="005023A7">
        <w:rPr>
          <w:rFonts w:ascii="Times Roman" w:hAnsi="Times Roman"/>
          <w:sz w:val="20"/>
          <w:szCs w:val="20"/>
        </w:rPr>
        <w:t xml:space="preserve"> </w:t>
      </w:r>
      <w:r w:rsidR="00724942">
        <w:rPr>
          <w:rFonts w:ascii="Times Roman" w:hAnsi="Times Roman"/>
          <w:sz w:val="20"/>
          <w:szCs w:val="20"/>
        </w:rPr>
        <w:t xml:space="preserve">the nature and purposes of financial </w:t>
      </w:r>
      <w:proofErr w:type="gramStart"/>
      <w:r w:rsidR="00724942">
        <w:rPr>
          <w:rFonts w:ascii="Times Roman" w:hAnsi="Times Roman"/>
          <w:sz w:val="20"/>
          <w:szCs w:val="20"/>
        </w:rPr>
        <w:t>accounting;</w:t>
      </w:r>
      <w:proofErr w:type="gramEnd"/>
    </w:p>
    <w:p w14:paraId="30CB223F" w14:textId="77777777" w:rsidR="003F0C07" w:rsidRDefault="00724942" w:rsidP="005023A7">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the preparation of annual financial statements and other annual </w:t>
      </w:r>
      <w:proofErr w:type="gramStart"/>
      <w:r>
        <w:rPr>
          <w:rFonts w:ascii="Times Roman" w:hAnsi="Times Roman"/>
          <w:sz w:val="20"/>
          <w:szCs w:val="20"/>
        </w:rPr>
        <w:t>reports;</w:t>
      </w:r>
      <w:proofErr w:type="gramEnd"/>
    </w:p>
    <w:p w14:paraId="7BEDAB77" w14:textId="77777777" w:rsidR="003F0C07" w:rsidRDefault="00724942" w:rsidP="005023A7">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financial statement analysis in the art and cultural </w:t>
      </w:r>
      <w:proofErr w:type="gramStart"/>
      <w:r>
        <w:rPr>
          <w:rFonts w:ascii="Times Roman" w:hAnsi="Times Roman"/>
          <w:sz w:val="20"/>
          <w:szCs w:val="20"/>
        </w:rPr>
        <w:t>sector;</w:t>
      </w:r>
      <w:proofErr w:type="gramEnd"/>
    </w:p>
    <w:p w14:paraId="67D7F99A" w14:textId="77777777" w:rsidR="003F0C07" w:rsidRDefault="00724942" w:rsidP="005023A7">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characteristics of performance disclosure to stakeholders in the art and cultural sector.</w:t>
      </w:r>
    </w:p>
    <w:p w14:paraId="638F6F12" w14:textId="77777777" w:rsidR="003F0C07" w:rsidRDefault="00724942">
      <w:pPr>
        <w:spacing w:before="120"/>
        <w:rPr>
          <w:smallCaps/>
          <w:sz w:val="18"/>
          <w:szCs w:val="18"/>
          <w:lang w:val="en-US"/>
        </w:rPr>
      </w:pPr>
      <w:r>
        <w:rPr>
          <w:smallCaps/>
          <w:sz w:val="18"/>
          <w:szCs w:val="18"/>
          <w:lang w:val="en-US"/>
        </w:rPr>
        <w:t xml:space="preserve">Module II: </w:t>
      </w:r>
      <w:r>
        <w:rPr>
          <w:i/>
          <w:iCs/>
          <w:lang w:val="en-US"/>
        </w:rPr>
        <w:t>Fundraising</w:t>
      </w:r>
      <w:r>
        <w:rPr>
          <w:smallCaps/>
          <w:sz w:val="18"/>
          <w:szCs w:val="18"/>
          <w:lang w:val="en-US"/>
        </w:rPr>
        <w:t xml:space="preserve"> (</w:t>
      </w:r>
      <w:r>
        <w:rPr>
          <w:lang w:val="en-US"/>
        </w:rPr>
        <w:t xml:space="preserve">Prof. Agnese </w:t>
      </w:r>
      <w:proofErr w:type="spellStart"/>
      <w:r>
        <w:rPr>
          <w:lang w:val="en-US"/>
        </w:rPr>
        <w:t>Agrizzi</w:t>
      </w:r>
      <w:proofErr w:type="spellEnd"/>
      <w:r>
        <w:rPr>
          <w:lang w:val="en-US"/>
        </w:rPr>
        <w:t>)</w:t>
      </w:r>
    </w:p>
    <w:p w14:paraId="10A4F57C" w14:textId="77777777" w:rsidR="003F0C07" w:rsidRDefault="00724942">
      <w:pPr>
        <w:rPr>
          <w:lang w:val="en-US"/>
        </w:rPr>
      </w:pPr>
      <w:r>
        <w:rPr>
          <w:lang w:val="en-US"/>
        </w:rPr>
        <w:t xml:space="preserve">This module provides an integrated and detailed framework for designing, </w:t>
      </w:r>
      <w:proofErr w:type="gramStart"/>
      <w:r>
        <w:rPr>
          <w:lang w:val="en-US"/>
        </w:rPr>
        <w:t>implementing</w:t>
      </w:r>
      <w:proofErr w:type="gramEnd"/>
      <w:r>
        <w:rPr>
          <w:lang w:val="en-US"/>
        </w:rPr>
        <w:t xml:space="preserve"> and evaluating fundraising planning. </w:t>
      </w:r>
      <w:proofErr w:type="gramStart"/>
      <w:r>
        <w:rPr>
          <w:lang w:val="en-US"/>
        </w:rPr>
        <w:t>In order to</w:t>
      </w:r>
      <w:proofErr w:type="gramEnd"/>
      <w:r>
        <w:rPr>
          <w:lang w:val="en-US"/>
        </w:rPr>
        <w:t xml:space="preserve"> give a focus on current developments of the discipline, there will be a specific attention to the crowdfunding method. </w:t>
      </w:r>
    </w:p>
    <w:p w14:paraId="236A57C3" w14:textId="77777777" w:rsidR="003F0C07" w:rsidRPr="005023A7" w:rsidRDefault="00724942">
      <w:pPr>
        <w:rPr>
          <w:lang w:val="en-US"/>
        </w:rPr>
      </w:pPr>
      <w:r>
        <w:rPr>
          <w:lang w:val="en-US"/>
        </w:rPr>
        <w:t>The program is structured around the following topics:</w:t>
      </w:r>
    </w:p>
    <w:p w14:paraId="41B592C8" w14:textId="77777777" w:rsidR="003F0C07" w:rsidRDefault="00724942">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the role of public and private contributors in </w:t>
      </w:r>
      <w:proofErr w:type="gramStart"/>
      <w:r>
        <w:rPr>
          <w:rFonts w:ascii="Times Roman" w:hAnsi="Times Roman"/>
          <w:sz w:val="20"/>
          <w:szCs w:val="20"/>
        </w:rPr>
        <w:t>fundraising;</w:t>
      </w:r>
      <w:proofErr w:type="gramEnd"/>
      <w:r>
        <w:rPr>
          <w:rFonts w:ascii="Times Roman" w:hAnsi="Times Roman"/>
          <w:sz w:val="20"/>
          <w:szCs w:val="20"/>
        </w:rPr>
        <w:t xml:space="preserve"> </w:t>
      </w:r>
    </w:p>
    <w:p w14:paraId="6DCCCC4F" w14:textId="77777777" w:rsidR="003F0C07" w:rsidRDefault="00724942">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acquisition of fundraising </w:t>
      </w:r>
      <w:proofErr w:type="gramStart"/>
      <w:r>
        <w:rPr>
          <w:rFonts w:ascii="Times Roman" w:hAnsi="Times Roman"/>
          <w:sz w:val="20"/>
          <w:szCs w:val="20"/>
        </w:rPr>
        <w:t>techniques;</w:t>
      </w:r>
      <w:proofErr w:type="gramEnd"/>
    </w:p>
    <w:p w14:paraId="64C6E1BE" w14:textId="77777777" w:rsidR="003F0C07" w:rsidRDefault="00724942">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design of </w:t>
      </w:r>
      <w:r w:rsidRPr="005023A7">
        <w:rPr>
          <w:rFonts w:ascii="Times Roman" w:hAnsi="Times Roman"/>
          <w:sz w:val="20"/>
          <w:szCs w:val="20"/>
        </w:rPr>
        <w:t xml:space="preserve">a crowdfunding </w:t>
      </w:r>
      <w:proofErr w:type="gramStart"/>
      <w:r w:rsidRPr="005023A7">
        <w:rPr>
          <w:rFonts w:ascii="Times Roman" w:hAnsi="Times Roman"/>
          <w:sz w:val="20"/>
          <w:szCs w:val="20"/>
        </w:rPr>
        <w:t>campaign</w:t>
      </w:r>
      <w:r>
        <w:rPr>
          <w:rFonts w:ascii="Times Roman" w:hAnsi="Times Roman"/>
          <w:sz w:val="20"/>
          <w:szCs w:val="20"/>
        </w:rPr>
        <w:t>;</w:t>
      </w:r>
      <w:proofErr w:type="gramEnd"/>
    </w:p>
    <w:p w14:paraId="3CCF175B" w14:textId="77777777" w:rsidR="003F0C07" w:rsidRDefault="00724942">
      <w:pPr>
        <w:pStyle w:val="Paragrafoelenco"/>
        <w:widowControl w:val="0"/>
        <w:numPr>
          <w:ilvl w:val="0"/>
          <w:numId w:val="5"/>
        </w:numPr>
        <w:spacing w:after="0" w:line="240" w:lineRule="exact"/>
        <w:rPr>
          <w:sz w:val="20"/>
          <w:szCs w:val="20"/>
        </w:rPr>
      </w:pPr>
      <w:r>
        <w:rPr>
          <w:rFonts w:ascii="Times Roman" w:hAnsi="Times Roman"/>
          <w:sz w:val="20"/>
          <w:szCs w:val="20"/>
        </w:rPr>
        <w:t xml:space="preserve">implementation and evaluation of </w:t>
      </w:r>
      <w:r w:rsidRPr="005023A7">
        <w:rPr>
          <w:rFonts w:ascii="Times Roman" w:hAnsi="Times Roman"/>
          <w:sz w:val="20"/>
          <w:szCs w:val="20"/>
        </w:rPr>
        <w:t xml:space="preserve">fundraising </w:t>
      </w:r>
      <w:r>
        <w:rPr>
          <w:rFonts w:ascii="Times Roman" w:hAnsi="Times Roman"/>
          <w:sz w:val="20"/>
          <w:szCs w:val="20"/>
        </w:rPr>
        <w:t>projects</w:t>
      </w:r>
      <w:r w:rsidRPr="005023A7">
        <w:rPr>
          <w:rFonts w:ascii="Times Roman" w:hAnsi="Times Roman"/>
          <w:sz w:val="20"/>
          <w:szCs w:val="20"/>
        </w:rPr>
        <w:t xml:space="preserve"> and crowdfunding</w:t>
      </w:r>
      <w:r>
        <w:rPr>
          <w:rFonts w:ascii="Times Roman" w:hAnsi="Times Roman"/>
          <w:sz w:val="20"/>
          <w:szCs w:val="20"/>
        </w:rPr>
        <w:t xml:space="preserve"> </w:t>
      </w:r>
      <w:r w:rsidRPr="005023A7">
        <w:rPr>
          <w:rFonts w:ascii="Times Roman" w:hAnsi="Times Roman"/>
          <w:sz w:val="20"/>
          <w:szCs w:val="20"/>
        </w:rPr>
        <w:t>campaigns</w:t>
      </w:r>
      <w:r>
        <w:rPr>
          <w:rFonts w:ascii="Times Roman" w:hAnsi="Times Roman"/>
          <w:sz w:val="20"/>
          <w:szCs w:val="20"/>
        </w:rPr>
        <w:t xml:space="preserve">. </w:t>
      </w:r>
    </w:p>
    <w:p w14:paraId="6FBFD606" w14:textId="77777777" w:rsidR="003F0C07" w:rsidRDefault="00724942">
      <w:pPr>
        <w:spacing w:before="240" w:after="120"/>
        <w:rPr>
          <w:b/>
          <w:bCs/>
          <w:i/>
          <w:iCs/>
          <w:sz w:val="18"/>
          <w:szCs w:val="18"/>
          <w:lang w:val="en-US"/>
        </w:rPr>
      </w:pPr>
      <w:r>
        <w:rPr>
          <w:b/>
          <w:bCs/>
          <w:i/>
          <w:iCs/>
          <w:sz w:val="18"/>
          <w:szCs w:val="18"/>
          <w:lang w:val="en-US"/>
        </w:rPr>
        <w:t>READING LIST</w:t>
      </w:r>
    </w:p>
    <w:p w14:paraId="2D828776" w14:textId="77777777" w:rsidR="003F0C07" w:rsidRDefault="00724942">
      <w:pPr>
        <w:pStyle w:val="Testo1"/>
      </w:pPr>
      <w:r>
        <w:t>Module I</w:t>
      </w:r>
    </w:p>
    <w:p w14:paraId="03938746" w14:textId="77777777" w:rsidR="003F0C07" w:rsidRPr="005023A7" w:rsidRDefault="00724942">
      <w:pPr>
        <w:pStyle w:val="Testo1"/>
        <w:spacing w:before="0"/>
        <w:rPr>
          <w:b/>
          <w:bCs/>
        </w:rPr>
      </w:pPr>
      <w:r w:rsidRPr="005023A7">
        <w:rPr>
          <w:b/>
          <w:bCs/>
        </w:rPr>
        <w:t>Textbook</w:t>
      </w:r>
    </w:p>
    <w:p w14:paraId="4DB92DE5" w14:textId="77777777" w:rsidR="003F0C07" w:rsidRDefault="00724942">
      <w:pPr>
        <w:spacing w:line="240" w:lineRule="atLeast"/>
        <w:ind w:left="284" w:hanging="284"/>
        <w:rPr>
          <w:spacing w:val="-5"/>
          <w:sz w:val="18"/>
          <w:szCs w:val="18"/>
          <w:lang w:val="en-US"/>
        </w:rPr>
      </w:pPr>
      <w:r>
        <w:rPr>
          <w:smallCaps/>
          <w:spacing w:val="-5"/>
          <w:sz w:val="18"/>
          <w:szCs w:val="18"/>
          <w:lang w:val="en-US"/>
        </w:rPr>
        <w:t xml:space="preserve">J.J. Weygandt-P.D. Kimmel-D.E. </w:t>
      </w:r>
      <w:proofErr w:type="spellStart"/>
      <w:r>
        <w:rPr>
          <w:smallCaps/>
          <w:spacing w:val="-5"/>
          <w:sz w:val="18"/>
          <w:szCs w:val="18"/>
          <w:lang w:val="en-US"/>
        </w:rPr>
        <w:t>Kieso</w:t>
      </w:r>
      <w:proofErr w:type="spellEnd"/>
      <w:r>
        <w:rPr>
          <w:smallCaps/>
          <w:spacing w:val="-5"/>
          <w:sz w:val="18"/>
          <w:szCs w:val="18"/>
          <w:lang w:val="en-US"/>
        </w:rPr>
        <w:t>,</w:t>
      </w:r>
      <w:r>
        <w:rPr>
          <w:i/>
          <w:iCs/>
          <w:spacing w:val="-5"/>
          <w:sz w:val="18"/>
          <w:szCs w:val="18"/>
          <w:lang w:val="en-US"/>
        </w:rPr>
        <w:t xml:space="preserve"> Financial Accounting,</w:t>
      </w:r>
      <w:r>
        <w:rPr>
          <w:spacing w:val="-5"/>
          <w:sz w:val="18"/>
          <w:szCs w:val="18"/>
          <w:lang w:val="en-US"/>
        </w:rPr>
        <w:t xml:space="preserve"> with International Financial Reporting Standards, Wiley, 2019, 4th edition, ISBN: 978-1-119-50340-8 (Chapters: 1, 2, 3, 4, 14).</w:t>
      </w:r>
    </w:p>
    <w:p w14:paraId="54227D23" w14:textId="77777777" w:rsidR="003F0C07" w:rsidRPr="005023A7" w:rsidRDefault="00724942">
      <w:pPr>
        <w:pStyle w:val="Testo1"/>
        <w:spacing w:before="0"/>
        <w:rPr>
          <w:b/>
          <w:bCs/>
        </w:rPr>
      </w:pPr>
      <w:r w:rsidRPr="005023A7">
        <w:rPr>
          <w:b/>
          <w:bCs/>
        </w:rPr>
        <w:t>Readings</w:t>
      </w:r>
    </w:p>
    <w:p w14:paraId="4A27847A" w14:textId="77777777" w:rsidR="003F0C07" w:rsidRPr="005023A7" w:rsidRDefault="00724942">
      <w:pPr>
        <w:spacing w:line="240" w:lineRule="atLeast"/>
        <w:ind w:left="284" w:hanging="284"/>
        <w:rPr>
          <w:spacing w:val="-5"/>
          <w:sz w:val="18"/>
          <w:szCs w:val="18"/>
          <w:lang w:val="en-US"/>
        </w:rPr>
      </w:pPr>
      <w:r>
        <w:rPr>
          <w:smallCaps/>
          <w:spacing w:val="-5"/>
          <w:sz w:val="16"/>
          <w:szCs w:val="16"/>
          <w:lang w:val="en-US"/>
        </w:rPr>
        <w:t xml:space="preserve">A.L. Christensen-R.M. Mohr </w:t>
      </w:r>
      <w:r>
        <w:rPr>
          <w:spacing w:val="-5"/>
          <w:sz w:val="18"/>
          <w:szCs w:val="18"/>
          <w:lang w:val="en-US"/>
        </w:rPr>
        <w:t>(2003),</w:t>
      </w:r>
      <w:r>
        <w:rPr>
          <w:i/>
          <w:iCs/>
          <w:spacing w:val="-5"/>
          <w:sz w:val="18"/>
          <w:szCs w:val="18"/>
          <w:lang w:val="en-US"/>
        </w:rPr>
        <w:t xml:space="preserve"> Not-for-profit annual reports: what do museum managers </w:t>
      </w:r>
      <w:proofErr w:type="gramStart"/>
      <w:r>
        <w:rPr>
          <w:i/>
          <w:iCs/>
          <w:spacing w:val="-5"/>
          <w:sz w:val="18"/>
          <w:szCs w:val="18"/>
          <w:lang w:val="en-US"/>
        </w:rPr>
        <w:t>communicate?,</w:t>
      </w:r>
      <w:proofErr w:type="gramEnd"/>
      <w:r>
        <w:rPr>
          <w:spacing w:val="-5"/>
          <w:sz w:val="18"/>
          <w:szCs w:val="18"/>
          <w:lang w:val="en-US"/>
        </w:rPr>
        <w:t xml:space="preserve"> Financial Accountability&amp; Management, 19(2): 139-158.</w:t>
      </w:r>
    </w:p>
    <w:p w14:paraId="69121136" w14:textId="77777777" w:rsidR="003F0C07" w:rsidRPr="005023A7" w:rsidRDefault="00724942">
      <w:pPr>
        <w:spacing w:line="240" w:lineRule="atLeast"/>
        <w:ind w:left="284" w:hanging="284"/>
        <w:rPr>
          <w:lang w:val="en-US"/>
        </w:rPr>
      </w:pPr>
      <w:r>
        <w:rPr>
          <w:smallCaps/>
          <w:spacing w:val="-5"/>
          <w:sz w:val="16"/>
          <w:szCs w:val="16"/>
          <w:lang w:val="en-US"/>
        </w:rPr>
        <w:t xml:space="preserve">E. Anessi Pessina, J. Caruana, M. Sicilia, I. </w:t>
      </w:r>
      <w:proofErr w:type="spellStart"/>
      <w:r>
        <w:rPr>
          <w:smallCaps/>
          <w:spacing w:val="-5"/>
          <w:sz w:val="16"/>
          <w:szCs w:val="16"/>
          <w:lang w:val="en-US"/>
        </w:rPr>
        <w:t>Steccolini</w:t>
      </w:r>
      <w:proofErr w:type="spellEnd"/>
      <w:r>
        <w:rPr>
          <w:smallCaps/>
          <w:spacing w:val="-5"/>
          <w:sz w:val="16"/>
          <w:szCs w:val="16"/>
          <w:lang w:val="en-US"/>
        </w:rPr>
        <w:t xml:space="preserve"> </w:t>
      </w:r>
      <w:r>
        <w:rPr>
          <w:spacing w:val="-5"/>
          <w:sz w:val="18"/>
          <w:szCs w:val="18"/>
          <w:lang w:val="en-US"/>
        </w:rPr>
        <w:t>(2020),</w:t>
      </w:r>
      <w:r>
        <w:rPr>
          <w:smallCaps/>
          <w:spacing w:val="-5"/>
          <w:sz w:val="16"/>
          <w:szCs w:val="16"/>
          <w:lang w:val="en-US"/>
        </w:rPr>
        <w:t xml:space="preserve"> </w:t>
      </w:r>
      <w:r>
        <w:rPr>
          <w:i/>
          <w:iCs/>
          <w:spacing w:val="-5"/>
          <w:sz w:val="18"/>
          <w:szCs w:val="18"/>
          <w:lang w:val="en-US"/>
        </w:rPr>
        <w:t>Heritage: the priceless hostage of accrual accounting,</w:t>
      </w:r>
      <w:r>
        <w:rPr>
          <w:smallCaps/>
          <w:spacing w:val="-5"/>
          <w:sz w:val="16"/>
          <w:szCs w:val="16"/>
          <w:lang w:val="en-US"/>
        </w:rPr>
        <w:t xml:space="preserve"> </w:t>
      </w:r>
      <w:r>
        <w:rPr>
          <w:spacing w:val="-5"/>
          <w:sz w:val="18"/>
          <w:szCs w:val="18"/>
          <w:lang w:val="en-US"/>
        </w:rPr>
        <w:t>International Journal of Public Sector Management, 33(2/3): 285-306</w:t>
      </w:r>
    </w:p>
    <w:p w14:paraId="752B3D19" w14:textId="77777777" w:rsidR="003F0C07" w:rsidRPr="005023A7" w:rsidRDefault="00724942">
      <w:pPr>
        <w:spacing w:line="240" w:lineRule="atLeast"/>
        <w:ind w:left="284" w:hanging="284"/>
        <w:rPr>
          <w:spacing w:val="-5"/>
          <w:sz w:val="18"/>
          <w:szCs w:val="18"/>
          <w:lang w:val="en-US"/>
        </w:rPr>
      </w:pPr>
      <w:r>
        <w:rPr>
          <w:smallCaps/>
          <w:spacing w:val="-5"/>
          <w:sz w:val="16"/>
          <w:szCs w:val="16"/>
          <w:lang w:val="en-US"/>
        </w:rPr>
        <w:lastRenderedPageBreak/>
        <w:t xml:space="preserve">L. </w:t>
      </w:r>
      <w:proofErr w:type="spellStart"/>
      <w:r>
        <w:rPr>
          <w:smallCaps/>
          <w:spacing w:val="-5"/>
          <w:sz w:val="16"/>
          <w:szCs w:val="16"/>
          <w:lang w:val="en-US"/>
        </w:rPr>
        <w:t>Bambagiotti</w:t>
      </w:r>
      <w:proofErr w:type="spellEnd"/>
      <w:r>
        <w:rPr>
          <w:smallCaps/>
          <w:spacing w:val="-5"/>
          <w:sz w:val="16"/>
          <w:szCs w:val="16"/>
          <w:lang w:val="en-US"/>
        </w:rPr>
        <w:t xml:space="preserve">-Alberti, G. </w:t>
      </w:r>
      <w:proofErr w:type="spellStart"/>
      <w:r>
        <w:rPr>
          <w:smallCaps/>
          <w:spacing w:val="-5"/>
          <w:sz w:val="16"/>
          <w:szCs w:val="16"/>
          <w:lang w:val="en-US"/>
        </w:rPr>
        <w:t>Manetti</w:t>
      </w:r>
      <w:proofErr w:type="spellEnd"/>
      <w:r>
        <w:rPr>
          <w:smallCaps/>
          <w:spacing w:val="-5"/>
          <w:sz w:val="16"/>
          <w:szCs w:val="16"/>
          <w:lang w:val="en-US"/>
        </w:rPr>
        <w:t xml:space="preserve">, B. </w:t>
      </w:r>
      <w:proofErr w:type="spellStart"/>
      <w:r>
        <w:rPr>
          <w:smallCaps/>
          <w:spacing w:val="-5"/>
          <w:sz w:val="16"/>
          <w:szCs w:val="16"/>
          <w:lang w:val="en-US"/>
        </w:rPr>
        <w:t>Sibilio-Parri</w:t>
      </w:r>
      <w:proofErr w:type="spellEnd"/>
      <w:r>
        <w:rPr>
          <w:smallCaps/>
          <w:spacing w:val="-5"/>
          <w:sz w:val="16"/>
          <w:szCs w:val="16"/>
          <w:lang w:val="en-US"/>
        </w:rPr>
        <w:t xml:space="preserve"> </w:t>
      </w:r>
      <w:r>
        <w:rPr>
          <w:spacing w:val="-5"/>
          <w:sz w:val="18"/>
          <w:szCs w:val="18"/>
          <w:lang w:val="en-US"/>
        </w:rPr>
        <w:t>(2016),</w:t>
      </w:r>
      <w:r>
        <w:rPr>
          <w:i/>
          <w:iCs/>
          <w:spacing w:val="-5"/>
          <w:sz w:val="18"/>
          <w:szCs w:val="18"/>
          <w:lang w:val="en-US"/>
        </w:rPr>
        <w:t xml:space="preserve"> The Quality of Annual Reporting by Italian Museums: An International Comparison,</w:t>
      </w:r>
      <w:r>
        <w:rPr>
          <w:spacing w:val="-5"/>
          <w:sz w:val="18"/>
          <w:szCs w:val="18"/>
          <w:lang w:val="en-US"/>
        </w:rPr>
        <w:t xml:space="preserve"> International Journal of Public Administration, 39(14): 1159-1170.</w:t>
      </w:r>
    </w:p>
    <w:p w14:paraId="16D3EB49" w14:textId="77777777" w:rsidR="003F0C07" w:rsidRDefault="00724942">
      <w:pPr>
        <w:pStyle w:val="Testo1"/>
      </w:pPr>
      <w:r>
        <w:t>Module II</w:t>
      </w:r>
    </w:p>
    <w:p w14:paraId="5AF60518" w14:textId="77777777" w:rsidR="003F0C07" w:rsidRPr="005023A7" w:rsidRDefault="00724942">
      <w:pPr>
        <w:pStyle w:val="Testo1"/>
        <w:spacing w:before="0"/>
        <w:rPr>
          <w:b/>
          <w:bCs/>
        </w:rPr>
      </w:pPr>
      <w:r w:rsidRPr="005023A7">
        <w:rPr>
          <w:b/>
          <w:bCs/>
        </w:rPr>
        <w:t>Textbook</w:t>
      </w:r>
    </w:p>
    <w:p w14:paraId="2B2E3EB0" w14:textId="77777777" w:rsidR="003F0C07" w:rsidRDefault="00724942">
      <w:pPr>
        <w:tabs>
          <w:tab w:val="clear" w:pos="284"/>
        </w:tabs>
        <w:spacing w:line="240" w:lineRule="atLeast"/>
        <w:ind w:left="284" w:hanging="284"/>
        <w:rPr>
          <w:spacing w:val="-5"/>
          <w:sz w:val="18"/>
          <w:szCs w:val="18"/>
          <w:shd w:val="clear" w:color="auto" w:fill="FFFFFF"/>
          <w:lang w:val="en-US"/>
        </w:rPr>
      </w:pPr>
      <w:r>
        <w:rPr>
          <w:smallCaps/>
          <w:spacing w:val="-5"/>
          <w:sz w:val="16"/>
          <w:szCs w:val="16"/>
          <w:lang w:val="en-US"/>
        </w:rPr>
        <w:t xml:space="preserve">E.R. </w:t>
      </w:r>
      <w:proofErr w:type="spellStart"/>
      <w:r>
        <w:rPr>
          <w:smallCaps/>
          <w:spacing w:val="-5"/>
          <w:sz w:val="16"/>
          <w:szCs w:val="16"/>
          <w:lang w:val="en-US"/>
        </w:rPr>
        <w:t>Tempel</w:t>
      </w:r>
      <w:proofErr w:type="spellEnd"/>
      <w:r>
        <w:rPr>
          <w:smallCaps/>
          <w:spacing w:val="-5"/>
          <w:sz w:val="16"/>
          <w:szCs w:val="16"/>
          <w:lang w:val="en-US"/>
        </w:rPr>
        <w:t xml:space="preserve">-E.E. Aldrich-T.L. Seiler-D.F. </w:t>
      </w:r>
      <w:r>
        <w:rPr>
          <w:smallCaps/>
          <w:spacing w:val="-5"/>
          <w:sz w:val="16"/>
          <w:szCs w:val="16"/>
          <w:shd w:val="clear" w:color="auto" w:fill="FFFFFF"/>
          <w:lang w:val="en-US"/>
        </w:rPr>
        <w:t>Burlingame,</w:t>
      </w:r>
      <w:r>
        <w:rPr>
          <w:i/>
          <w:iCs/>
          <w:spacing w:val="-5"/>
          <w:sz w:val="18"/>
          <w:szCs w:val="18"/>
          <w:shd w:val="clear" w:color="auto" w:fill="FFFFFF"/>
          <w:lang w:val="en-US"/>
        </w:rPr>
        <w:t xml:space="preserve"> Achieving excellence in fundraising,</w:t>
      </w:r>
      <w:r>
        <w:rPr>
          <w:spacing w:val="-5"/>
          <w:sz w:val="18"/>
          <w:szCs w:val="18"/>
          <w:shd w:val="clear" w:color="auto" w:fill="FFFFFF"/>
          <w:lang w:val="en-US"/>
        </w:rPr>
        <w:t xml:space="preserve"> John Wiley &amp; Sons, 2016, 4th Edition or </w:t>
      </w:r>
      <w:proofErr w:type="gramStart"/>
      <w:r>
        <w:rPr>
          <w:spacing w:val="-5"/>
          <w:sz w:val="18"/>
          <w:szCs w:val="18"/>
          <w:shd w:val="clear" w:color="auto" w:fill="FFFFFF"/>
          <w:lang w:val="en-US"/>
        </w:rPr>
        <w:t>3th</w:t>
      </w:r>
      <w:proofErr w:type="gramEnd"/>
      <w:r>
        <w:rPr>
          <w:spacing w:val="-5"/>
          <w:sz w:val="18"/>
          <w:szCs w:val="18"/>
          <w:shd w:val="clear" w:color="auto" w:fill="FFFFFF"/>
          <w:lang w:val="en-US"/>
        </w:rPr>
        <w:t xml:space="preserve"> Edition, ISBN 978-1-118-85382-5</w:t>
      </w:r>
    </w:p>
    <w:p w14:paraId="2827BF07" w14:textId="77777777" w:rsidR="003F0C07" w:rsidRPr="005023A7" w:rsidRDefault="00724942">
      <w:pPr>
        <w:tabs>
          <w:tab w:val="clear" w:pos="284"/>
        </w:tabs>
        <w:spacing w:line="240" w:lineRule="atLeast"/>
        <w:ind w:left="284" w:hanging="284"/>
        <w:rPr>
          <w:b/>
          <w:bCs/>
          <w:sz w:val="18"/>
          <w:szCs w:val="18"/>
          <w:lang w:val="en-US"/>
        </w:rPr>
      </w:pPr>
      <w:r w:rsidRPr="005023A7">
        <w:rPr>
          <w:b/>
          <w:bCs/>
          <w:sz w:val="18"/>
          <w:szCs w:val="18"/>
          <w:lang w:val="en-US"/>
        </w:rPr>
        <w:t>Further readings, case studies and exercises will be posted on Blackboard.</w:t>
      </w:r>
    </w:p>
    <w:p w14:paraId="17D84843" w14:textId="77777777" w:rsidR="003F0C07" w:rsidRDefault="00724942">
      <w:pPr>
        <w:spacing w:before="240" w:after="120" w:line="220" w:lineRule="exact"/>
        <w:rPr>
          <w:b/>
          <w:bCs/>
          <w:i/>
          <w:iCs/>
          <w:sz w:val="18"/>
          <w:szCs w:val="18"/>
          <w:lang w:val="en-US"/>
        </w:rPr>
      </w:pPr>
      <w:r>
        <w:rPr>
          <w:b/>
          <w:bCs/>
          <w:i/>
          <w:iCs/>
          <w:sz w:val="18"/>
          <w:szCs w:val="18"/>
          <w:lang w:val="en-US"/>
        </w:rPr>
        <w:t>TEACHING METHOD</w:t>
      </w:r>
    </w:p>
    <w:p w14:paraId="5F58E836" w14:textId="77777777" w:rsidR="003F0C07" w:rsidRDefault="00724942">
      <w:pPr>
        <w:pStyle w:val="Testo2"/>
      </w:pPr>
      <w:r>
        <w:t xml:space="preserve">Teaching methods include formal lectures, discussion of case studies, company speakers. </w:t>
      </w:r>
    </w:p>
    <w:p w14:paraId="70D15075" w14:textId="77777777" w:rsidR="003F0C07" w:rsidRDefault="00724942">
      <w:pPr>
        <w:pStyle w:val="Testo2"/>
      </w:pPr>
      <w:r>
        <w:t xml:space="preserve">Class participation is strongly recommended. Students are expected to study all assigned materials and to complete specific homework assignments prior to each class meeting. </w:t>
      </w:r>
    </w:p>
    <w:p w14:paraId="29088779" w14:textId="77777777" w:rsidR="003F0C07" w:rsidRDefault="00724942">
      <w:pPr>
        <w:spacing w:before="240" w:after="120" w:line="220" w:lineRule="exact"/>
        <w:rPr>
          <w:b/>
          <w:bCs/>
          <w:i/>
          <w:iCs/>
          <w:sz w:val="18"/>
          <w:szCs w:val="18"/>
          <w:lang w:val="en-US"/>
        </w:rPr>
      </w:pPr>
      <w:r>
        <w:rPr>
          <w:b/>
          <w:bCs/>
          <w:i/>
          <w:iCs/>
          <w:sz w:val="18"/>
          <w:szCs w:val="18"/>
          <w:lang w:val="en-US"/>
        </w:rPr>
        <w:t>ASSESSMENT METHOD AND CRITERIA</w:t>
      </w:r>
    </w:p>
    <w:p w14:paraId="308687BE" w14:textId="77777777" w:rsidR="005023A7" w:rsidRDefault="005023A7" w:rsidP="005023A7">
      <w:pPr>
        <w:pStyle w:val="Testo2"/>
      </w:pPr>
      <w:r>
        <w:t>The first (Accounting) and second (Fundraising) modules will count for 50% each against the final, overall grade for the course.</w:t>
      </w:r>
    </w:p>
    <w:p w14:paraId="3F4BBD19" w14:textId="77777777" w:rsidR="005023A7" w:rsidRDefault="005023A7" w:rsidP="005023A7">
      <w:pPr>
        <w:pStyle w:val="Testo2"/>
      </w:pPr>
      <w:r>
        <w:t>The grade for the first module (Accounting) will be based on a written test including multiple choice questions, accounting exercises, and essay questions. A mid-term exam for this module will be offered only once. For attending students only, class participation in the discussion of papers, case studies and group works is evaluated from 0 to 3 extra points, to be added to the accounting grade.</w:t>
      </w:r>
    </w:p>
    <w:p w14:paraId="037AB26F" w14:textId="75F191E0" w:rsidR="005023A7" w:rsidRDefault="005023A7" w:rsidP="005023A7">
      <w:pPr>
        <w:pStyle w:val="Testo2"/>
      </w:pPr>
      <w:r>
        <w:t>The grade for the second module (Fundraising) will be determined by a group work (50%) and an individual written test (50%) for attending students, while for non-attending students it will be based solely on an individual written test (100%).</w:t>
      </w:r>
    </w:p>
    <w:p w14:paraId="6F87A14D" w14:textId="6BB8C998" w:rsidR="003F0C07" w:rsidRDefault="005023A7" w:rsidP="005023A7">
      <w:pPr>
        <w:pStyle w:val="Testo2"/>
        <w:rPr>
          <w:rFonts w:ascii="Times New Roman" w:eastAsia="Times New Roman" w:hAnsi="Times New Roman" w:cs="Times New Roman"/>
        </w:rPr>
      </w:pPr>
      <w:r>
        <w:t>Students who fail one of the two parts of the written exam (Accounting module or Fundraising module) or choose to discard one of the grades must retake the specific part only.</w:t>
      </w:r>
    </w:p>
    <w:p w14:paraId="4143F318" w14:textId="77777777" w:rsidR="003F0C07" w:rsidRDefault="00724942">
      <w:pPr>
        <w:spacing w:before="240" w:after="120" w:line="220" w:lineRule="exact"/>
        <w:rPr>
          <w:b/>
          <w:bCs/>
          <w:i/>
          <w:iCs/>
          <w:sz w:val="18"/>
          <w:szCs w:val="18"/>
          <w:lang w:val="en-US"/>
        </w:rPr>
      </w:pPr>
      <w:r>
        <w:rPr>
          <w:b/>
          <w:bCs/>
          <w:i/>
          <w:iCs/>
          <w:sz w:val="18"/>
          <w:szCs w:val="18"/>
          <w:lang w:val="en-US"/>
        </w:rPr>
        <w:t>NOTES AND PREREQUISITES</w:t>
      </w:r>
    </w:p>
    <w:p w14:paraId="66D1BDC0" w14:textId="77777777" w:rsidR="003F0C07" w:rsidRPr="005023A7" w:rsidRDefault="00724942">
      <w:pPr>
        <w:spacing w:before="120"/>
        <w:ind w:firstLine="284"/>
        <w:rPr>
          <w:lang w:val="en-US"/>
        </w:rPr>
      </w:pPr>
      <w:r>
        <w:rPr>
          <w:i/>
          <w:iCs/>
          <w:sz w:val="18"/>
          <w:szCs w:val="18"/>
          <w:lang w:val="en-US"/>
        </w:rPr>
        <w:t>Should the Covid-19 situation prevent frontal teaching and exams, remote teaching and exams will be carried out following procedures that will be promptly notified to students</w:t>
      </w:r>
      <w:r>
        <w:rPr>
          <w:i/>
          <w:iCs/>
          <w:sz w:val="18"/>
          <w:szCs w:val="18"/>
          <w:shd w:val="clear" w:color="auto" w:fill="FFFFFF"/>
          <w:lang w:val="en-US"/>
        </w:rPr>
        <w:t>.</w:t>
      </w:r>
    </w:p>
    <w:sectPr w:rsidR="003F0C07" w:rsidRPr="005023A7">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8642" w14:textId="77777777" w:rsidR="00724942" w:rsidRDefault="00724942">
      <w:pPr>
        <w:spacing w:line="240" w:lineRule="auto"/>
      </w:pPr>
      <w:r>
        <w:separator/>
      </w:r>
    </w:p>
  </w:endnote>
  <w:endnote w:type="continuationSeparator" w:id="0">
    <w:p w14:paraId="60624202" w14:textId="77777777" w:rsidR="00724942" w:rsidRDefault="00724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1BCA" w14:textId="77777777" w:rsidR="003F0C07" w:rsidRDefault="003F0C0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CE2E" w14:textId="77777777" w:rsidR="00724942" w:rsidRDefault="00724942">
      <w:pPr>
        <w:spacing w:line="240" w:lineRule="auto"/>
      </w:pPr>
      <w:r>
        <w:separator/>
      </w:r>
    </w:p>
  </w:footnote>
  <w:footnote w:type="continuationSeparator" w:id="0">
    <w:p w14:paraId="29B40DEB" w14:textId="77777777" w:rsidR="00724942" w:rsidRDefault="00724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220" w14:textId="77777777" w:rsidR="003F0C07" w:rsidRDefault="003F0C0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68A"/>
    <w:multiLevelType w:val="hybridMultilevel"/>
    <w:tmpl w:val="0E16C0D0"/>
    <w:numStyleLink w:val="Stileimportato2"/>
  </w:abstractNum>
  <w:abstractNum w:abstractNumId="1" w15:restartNumberingAfterBreak="0">
    <w:nsid w:val="32313DEE"/>
    <w:multiLevelType w:val="hybridMultilevel"/>
    <w:tmpl w:val="0E16C0D0"/>
    <w:styleLink w:val="Stileimportato2"/>
    <w:lvl w:ilvl="0" w:tplc="60AACDD8">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53EE662A">
      <w:start w:val="1"/>
      <w:numFmt w:val="bullet"/>
      <w:lvlText w:val="o"/>
      <w:lvlJc w:val="left"/>
      <w:pPr>
        <w:ind w:left="10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DF96385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AA676">
      <w:start w:val="1"/>
      <w:numFmt w:val="bullet"/>
      <w:lvlText w:val="•"/>
      <w:lvlJc w:val="left"/>
      <w:pPr>
        <w:ind w:left="24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69183DEA">
      <w:start w:val="1"/>
      <w:numFmt w:val="bullet"/>
      <w:lvlText w:val="o"/>
      <w:lvlJc w:val="left"/>
      <w:pPr>
        <w:ind w:left="31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8352875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841E4">
      <w:start w:val="1"/>
      <w:numFmt w:val="bullet"/>
      <w:lvlText w:val="•"/>
      <w:lvlJc w:val="left"/>
      <w:pPr>
        <w:ind w:left="46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18C0E6C4">
      <w:start w:val="1"/>
      <w:numFmt w:val="bullet"/>
      <w:lvlText w:val="o"/>
      <w:lvlJc w:val="left"/>
      <w:pPr>
        <w:ind w:left="53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8CD414B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68645C"/>
    <w:multiLevelType w:val="hybridMultilevel"/>
    <w:tmpl w:val="DBD4DCA4"/>
    <w:numStyleLink w:val="Stileimportato3"/>
  </w:abstractNum>
  <w:abstractNum w:abstractNumId="3" w15:restartNumberingAfterBreak="0">
    <w:nsid w:val="68CA6842"/>
    <w:multiLevelType w:val="hybridMultilevel"/>
    <w:tmpl w:val="DBD4DCA4"/>
    <w:styleLink w:val="Stileimportato3"/>
    <w:lvl w:ilvl="0" w:tplc="1D1885B6">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202201B8">
      <w:start w:val="1"/>
      <w:numFmt w:val="bullet"/>
      <w:lvlText w:val="–"/>
      <w:lvlJc w:val="left"/>
      <w:pPr>
        <w:ind w:left="10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648E038C">
      <w:start w:val="1"/>
      <w:numFmt w:val="bullet"/>
      <w:lvlText w:val="–"/>
      <w:lvlJc w:val="left"/>
      <w:pPr>
        <w:ind w:left="17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80B628A4">
      <w:start w:val="1"/>
      <w:numFmt w:val="bullet"/>
      <w:lvlText w:val="–"/>
      <w:lvlJc w:val="left"/>
      <w:pPr>
        <w:ind w:left="24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1FA1C0C">
      <w:start w:val="1"/>
      <w:numFmt w:val="bullet"/>
      <w:lvlText w:val="–"/>
      <w:lvlJc w:val="left"/>
      <w:pPr>
        <w:ind w:left="31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C6259F0">
      <w:start w:val="1"/>
      <w:numFmt w:val="bullet"/>
      <w:lvlText w:val="–"/>
      <w:lvlJc w:val="left"/>
      <w:pPr>
        <w:ind w:left="38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C0DC726A">
      <w:start w:val="1"/>
      <w:numFmt w:val="bullet"/>
      <w:lvlText w:val="–"/>
      <w:lvlJc w:val="left"/>
      <w:pPr>
        <w:ind w:left="46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A9F83918">
      <w:start w:val="1"/>
      <w:numFmt w:val="bullet"/>
      <w:lvlText w:val="–"/>
      <w:lvlJc w:val="left"/>
      <w:pPr>
        <w:ind w:left="53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AF42E63C">
      <w:start w:val="1"/>
      <w:numFmt w:val="bullet"/>
      <w:lvlText w:val="–"/>
      <w:lvlJc w:val="left"/>
      <w:pPr>
        <w:ind w:left="60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76786931">
    <w:abstractNumId w:val="1"/>
  </w:num>
  <w:num w:numId="2" w16cid:durableId="928461684">
    <w:abstractNumId w:val="0"/>
  </w:num>
  <w:num w:numId="3" w16cid:durableId="1000694811">
    <w:abstractNumId w:val="3"/>
  </w:num>
  <w:num w:numId="4" w16cid:durableId="70079744">
    <w:abstractNumId w:val="2"/>
  </w:num>
  <w:num w:numId="5" w16cid:durableId="1670868196">
    <w:abstractNumId w:val="2"/>
    <w:lvlOverride w:ilvl="0">
      <w:lvl w:ilvl="0" w:tplc="F41A37C8">
        <w:start w:val="1"/>
        <w:numFmt w:val="bullet"/>
        <w:lvlText w:val="–"/>
        <w:lvlJc w:val="left"/>
        <w:pPr>
          <w:ind w:left="25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438A7BAA">
        <w:start w:val="1"/>
        <w:numFmt w:val="bullet"/>
        <w:lvlText w:val="–"/>
        <w:lvlJc w:val="left"/>
        <w:pPr>
          <w:ind w:left="97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C8A29DC6">
        <w:start w:val="1"/>
        <w:numFmt w:val="bullet"/>
        <w:lvlText w:val="–"/>
        <w:lvlJc w:val="left"/>
        <w:pPr>
          <w:ind w:left="169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55FE7902">
        <w:start w:val="1"/>
        <w:numFmt w:val="bullet"/>
        <w:lvlText w:val="–"/>
        <w:lvlJc w:val="left"/>
        <w:pPr>
          <w:ind w:left="241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AB92B4A0">
        <w:start w:val="1"/>
        <w:numFmt w:val="bullet"/>
        <w:lvlText w:val="–"/>
        <w:lvlJc w:val="left"/>
        <w:pPr>
          <w:ind w:left="313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CDCCA720">
        <w:start w:val="1"/>
        <w:numFmt w:val="bullet"/>
        <w:lvlText w:val="–"/>
        <w:lvlJc w:val="left"/>
        <w:pPr>
          <w:ind w:left="385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1CC8AFC4">
        <w:start w:val="1"/>
        <w:numFmt w:val="bullet"/>
        <w:lvlText w:val="–"/>
        <w:lvlJc w:val="left"/>
        <w:pPr>
          <w:ind w:left="457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9B5A429A">
        <w:start w:val="1"/>
        <w:numFmt w:val="bullet"/>
        <w:lvlText w:val="–"/>
        <w:lvlJc w:val="left"/>
        <w:pPr>
          <w:ind w:left="529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75C2EF0A">
        <w:start w:val="1"/>
        <w:numFmt w:val="bullet"/>
        <w:lvlText w:val="–"/>
        <w:lvlJc w:val="left"/>
        <w:pPr>
          <w:ind w:left="601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07"/>
    <w:rsid w:val="00384792"/>
    <w:rsid w:val="003F0C07"/>
    <w:rsid w:val="00484526"/>
    <w:rsid w:val="005023A7"/>
    <w:rsid w:val="00722664"/>
    <w:rsid w:val="00724942"/>
    <w:rsid w:val="00DE7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50AF"/>
  <w15:docId w15:val="{E1554F11-0CE4-7047-A8A1-44E6E4B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lang w:val="en-US"/>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lang w:val="en-US"/>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jc w:val="both"/>
    </w:pPr>
    <w:rPr>
      <w:rFonts w:ascii="Calibri" w:hAnsi="Calibri" w:cs="Arial Unicode MS"/>
      <w:color w:val="000000"/>
      <w:sz w:val="22"/>
      <w:szCs w:val="22"/>
      <w:u w:color="000000"/>
      <w:lang w:val="en-US"/>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3</cp:revision>
  <dcterms:created xsi:type="dcterms:W3CDTF">2022-05-23T15:31:00Z</dcterms:created>
  <dcterms:modified xsi:type="dcterms:W3CDTF">2022-06-10T07:53:00Z</dcterms:modified>
</cp:coreProperties>
</file>