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D428" w14:textId="77777777" w:rsidR="00E8546B" w:rsidRPr="00151D12" w:rsidRDefault="00E8546B" w:rsidP="00E8546B">
      <w:pPr>
        <w:pStyle w:val="Titolo1"/>
        <w:spacing w:before="0"/>
        <w:rPr>
          <w:noProof w:val="0"/>
          <w:shd w:val="clear" w:color="auto" w:fill="FFFFFF"/>
        </w:rPr>
      </w:pPr>
      <w:bookmarkStart w:id="0" w:name="_Toc2840265"/>
      <w:proofErr w:type="spellStart"/>
      <w:r w:rsidRPr="00151D12">
        <w:rPr>
          <w:noProof w:val="0"/>
          <w:shd w:val="clear" w:color="auto" w:fill="FFFFFF"/>
        </w:rPr>
        <w:t>European</w:t>
      </w:r>
      <w:proofErr w:type="spellEnd"/>
      <w:r w:rsidRPr="00151D12">
        <w:rPr>
          <w:noProof w:val="0"/>
          <w:shd w:val="clear" w:color="auto" w:fill="FFFFFF"/>
        </w:rPr>
        <w:t xml:space="preserve"> Union </w:t>
      </w:r>
      <w:proofErr w:type="spellStart"/>
      <w:r w:rsidRPr="00151D12">
        <w:rPr>
          <w:noProof w:val="0"/>
          <w:shd w:val="clear" w:color="auto" w:fill="FFFFFF"/>
        </w:rPr>
        <w:t>Law</w:t>
      </w:r>
      <w:proofErr w:type="spellEnd"/>
    </w:p>
    <w:bookmarkEnd w:id="0"/>
    <w:p w14:paraId="4A05377E" w14:textId="6C10EFCE" w:rsidR="007371CE" w:rsidRPr="00E2519A" w:rsidRDefault="007371CE" w:rsidP="007371CE">
      <w:pPr>
        <w:pStyle w:val="Titolo2"/>
      </w:pPr>
      <w:r w:rsidRPr="00E51FEC">
        <w:t xml:space="preserve">Prof. </w:t>
      </w:r>
      <w:r w:rsidR="00555D9A">
        <w:t>Giulia Rossolillo</w:t>
      </w:r>
      <w:r>
        <w:t xml:space="preserve">; </w:t>
      </w:r>
      <w:r w:rsidRPr="00E51FEC">
        <w:t xml:space="preserve"> Prof. </w:t>
      </w:r>
      <w:r w:rsidR="00555D9A">
        <w:t>Andrea Santini</w:t>
      </w:r>
    </w:p>
    <w:p w14:paraId="2C886603" w14:textId="3FEABE02" w:rsidR="002D5E17" w:rsidRPr="00151D12" w:rsidRDefault="00A67B58" w:rsidP="00C74F40">
      <w:pPr>
        <w:spacing w:before="240" w:after="120" w:line="240" w:lineRule="exact"/>
        <w:rPr>
          <w:b/>
          <w:sz w:val="18"/>
          <w:lang w:val="en-GB"/>
        </w:rPr>
      </w:pPr>
      <w:r w:rsidRPr="00151D12">
        <w:rPr>
          <w:b/>
          <w:i/>
          <w:sz w:val="18"/>
          <w:lang w:val="en-GB"/>
        </w:rPr>
        <w:t>COURSE AIMS AND INTENDED LEARNING OUTCOMES</w:t>
      </w:r>
    </w:p>
    <w:p w14:paraId="072A7C08" w14:textId="0E2A6C5C" w:rsidR="00052C24" w:rsidRPr="00151D12" w:rsidRDefault="00052C24" w:rsidP="00EF4287">
      <w:pPr>
        <w:spacing w:line="240" w:lineRule="exact"/>
        <w:rPr>
          <w:rFonts w:eastAsia="MS Mincho"/>
          <w:lang w:val="en-GB" w:eastAsia="en-US"/>
        </w:rPr>
      </w:pPr>
      <w:r w:rsidRPr="00151D12">
        <w:rPr>
          <w:rFonts w:eastAsia="MS Mincho"/>
          <w:lang w:val="en-GB" w:eastAsia="en-US"/>
        </w:rPr>
        <w:t>The course ‘European Union Law’ aims to introduce students to the knowledge of EU Law, both for its</w:t>
      </w:r>
      <w:r w:rsidR="007A24A0" w:rsidRPr="00151D12">
        <w:rPr>
          <w:rFonts w:eastAsia="MS Mincho"/>
          <w:lang w:val="en-GB" w:eastAsia="en-US"/>
        </w:rPr>
        <w:t xml:space="preserve"> specific features with respect to national law and for the importance of the relationship be</w:t>
      </w:r>
      <w:r w:rsidR="00AE5E41" w:rsidRPr="00151D12">
        <w:rPr>
          <w:rFonts w:eastAsia="MS Mincho"/>
          <w:lang w:val="en-GB" w:eastAsia="en-US"/>
        </w:rPr>
        <w:t>t</w:t>
      </w:r>
      <w:r w:rsidR="007A24A0" w:rsidRPr="00151D12">
        <w:rPr>
          <w:rFonts w:eastAsia="MS Mincho"/>
          <w:lang w:val="en-GB" w:eastAsia="en-US"/>
        </w:rPr>
        <w:t xml:space="preserve">ween Union law and national law. After students have understood and </w:t>
      </w:r>
      <w:r w:rsidR="00AE5E41" w:rsidRPr="00151D12">
        <w:rPr>
          <w:rFonts w:eastAsia="MS Mincho"/>
          <w:lang w:val="en-GB" w:eastAsia="en-US"/>
        </w:rPr>
        <w:t>internalised</w:t>
      </w:r>
      <w:r w:rsidR="007A24A0" w:rsidRPr="00151D12">
        <w:rPr>
          <w:rFonts w:eastAsia="MS Mincho"/>
          <w:lang w:val="en-GB" w:eastAsia="en-US"/>
        </w:rPr>
        <w:t xml:space="preserve"> the principles, structure and functioning on the judicial protection of the EU Law, they will study </w:t>
      </w:r>
      <w:r w:rsidR="00AE5E41" w:rsidRPr="00151D12">
        <w:rPr>
          <w:rFonts w:eastAsia="MS Mincho"/>
          <w:lang w:val="en-GB" w:eastAsia="en-US"/>
        </w:rPr>
        <w:t xml:space="preserve">in-depth </w:t>
      </w:r>
      <w:r w:rsidR="007A24A0" w:rsidRPr="00151D12">
        <w:rPr>
          <w:rFonts w:eastAsia="MS Mincho"/>
          <w:lang w:val="en-GB" w:eastAsia="en-US"/>
        </w:rPr>
        <w:t>the most important policies (corresponding to</w:t>
      </w:r>
      <w:r w:rsidR="006E7067" w:rsidRPr="00151D12">
        <w:rPr>
          <w:rFonts w:eastAsia="MS Mincho"/>
          <w:lang w:val="en-GB" w:eastAsia="en-US"/>
        </w:rPr>
        <w:t xml:space="preserve"> substantive laws), </w:t>
      </w:r>
      <w:proofErr w:type="gramStart"/>
      <w:r w:rsidR="006E7067" w:rsidRPr="00151D12">
        <w:rPr>
          <w:rFonts w:eastAsia="MS Mincho"/>
          <w:lang w:val="en-GB" w:eastAsia="en-US"/>
        </w:rPr>
        <w:t>in particular the</w:t>
      </w:r>
      <w:proofErr w:type="gramEnd"/>
      <w:r w:rsidR="006E7067" w:rsidRPr="00151D12">
        <w:rPr>
          <w:rFonts w:eastAsia="MS Mincho"/>
          <w:lang w:val="en-GB" w:eastAsia="en-US"/>
        </w:rPr>
        <w:t xml:space="preserve"> internal market and the EU freedom space. </w:t>
      </w:r>
      <w:r w:rsidR="007A24A0" w:rsidRPr="00151D12">
        <w:rPr>
          <w:rFonts w:eastAsia="MS Mincho"/>
          <w:lang w:val="en-GB" w:eastAsia="en-US"/>
        </w:rPr>
        <w:t xml:space="preserve">  </w:t>
      </w:r>
    </w:p>
    <w:p w14:paraId="17AC0A59" w14:textId="612B0883" w:rsidR="00EF4287" w:rsidRPr="00151D12" w:rsidRDefault="00AE5E41" w:rsidP="00EF4287">
      <w:pPr>
        <w:tabs>
          <w:tab w:val="clear" w:pos="284"/>
        </w:tabs>
        <w:autoSpaceDE w:val="0"/>
        <w:autoSpaceDN w:val="0"/>
        <w:adjustRightInd w:val="0"/>
        <w:spacing w:before="120" w:line="240" w:lineRule="exact"/>
        <w:jc w:val="left"/>
        <w:rPr>
          <w:bCs/>
          <w:i/>
          <w:lang w:val="en-GB"/>
        </w:rPr>
      </w:pPr>
      <w:r w:rsidRPr="00151D12">
        <w:rPr>
          <w:bCs/>
          <w:i/>
          <w:lang w:val="en-GB"/>
        </w:rPr>
        <w:t>Intended</w:t>
      </w:r>
      <w:r w:rsidR="006E7067" w:rsidRPr="00151D12">
        <w:rPr>
          <w:bCs/>
          <w:i/>
          <w:lang w:val="en-GB"/>
        </w:rPr>
        <w:t xml:space="preserve"> learning outcomes</w:t>
      </w:r>
      <w:r w:rsidR="009932C6" w:rsidRPr="00151D12">
        <w:rPr>
          <w:bCs/>
          <w:i/>
          <w:lang w:val="en-GB"/>
        </w:rPr>
        <w:t>.</w:t>
      </w:r>
    </w:p>
    <w:p w14:paraId="001F3D8D" w14:textId="7A0FB06B" w:rsidR="00F1597E" w:rsidRPr="00151D12" w:rsidRDefault="00F1597E" w:rsidP="00EF4287">
      <w:pPr>
        <w:spacing w:line="240" w:lineRule="exact"/>
        <w:rPr>
          <w:rFonts w:eastAsia="MS Mincho"/>
          <w:lang w:val="en-GB" w:eastAsia="en-US"/>
        </w:rPr>
      </w:pPr>
      <w:r w:rsidRPr="00151D12">
        <w:rPr>
          <w:rFonts w:eastAsia="MS Mincho"/>
          <w:lang w:val="en-GB" w:eastAsia="en-US"/>
        </w:rPr>
        <w:t>The study of the course content, especially for students attending lectures, will lead students to acquire the knowledge of the institutional structure and sources of EU law, the fundamental rules on which the Union is founded, their effectiveness with respect to national law and its ability to affect inter-individual relationships and those between individuals and State.</w:t>
      </w:r>
    </w:p>
    <w:p w14:paraId="46EFF2C8" w14:textId="0CBF5390" w:rsidR="00F1597E" w:rsidRPr="00151D12" w:rsidRDefault="00F1597E" w:rsidP="00EF4287">
      <w:pPr>
        <w:spacing w:line="240" w:lineRule="exact"/>
        <w:rPr>
          <w:rFonts w:eastAsia="MS Mincho"/>
          <w:lang w:val="en-GB" w:eastAsia="en-US"/>
        </w:rPr>
      </w:pPr>
      <w:r w:rsidRPr="00151D12">
        <w:rPr>
          <w:rFonts w:eastAsia="MS Mincho"/>
          <w:lang w:val="en-GB" w:eastAsia="en-US"/>
        </w:rPr>
        <w:t>To this end, it is fundam</w:t>
      </w:r>
      <w:r w:rsidR="00AE5E41" w:rsidRPr="00151D12">
        <w:rPr>
          <w:rFonts w:eastAsia="MS Mincho"/>
          <w:lang w:val="en-GB" w:eastAsia="en-US"/>
        </w:rPr>
        <w:t>en</w:t>
      </w:r>
      <w:r w:rsidRPr="00151D12">
        <w:rPr>
          <w:rFonts w:eastAsia="MS Mincho"/>
          <w:lang w:val="en-GB" w:eastAsia="en-US"/>
        </w:rPr>
        <w:t>tal for students to demonstrate knowledge of the jurisprudential work of the Court of Justice, of the principles elaborated by it and of the lines of reasoning and interpretation that it follows</w:t>
      </w:r>
      <w:r w:rsidR="00AE5E41" w:rsidRPr="00151D12">
        <w:rPr>
          <w:rFonts w:eastAsia="MS Mincho"/>
          <w:lang w:val="en-GB" w:eastAsia="en-US"/>
        </w:rPr>
        <w:t xml:space="preserve"> </w:t>
      </w:r>
      <w:r w:rsidRPr="00151D12">
        <w:rPr>
          <w:rFonts w:eastAsia="MS Mincho"/>
          <w:lang w:val="en-GB" w:eastAsia="en-US"/>
        </w:rPr>
        <w:t>also in con</w:t>
      </w:r>
      <w:r w:rsidR="00AE5E41" w:rsidRPr="00151D12">
        <w:rPr>
          <w:rFonts w:eastAsia="MS Mincho"/>
          <w:lang w:val="en-GB" w:eastAsia="en-US"/>
        </w:rPr>
        <w:t>s</w:t>
      </w:r>
      <w:r w:rsidRPr="00151D12">
        <w:rPr>
          <w:rFonts w:eastAsia="MS Mincho"/>
          <w:lang w:val="en-GB" w:eastAsia="en-US"/>
        </w:rPr>
        <w:t xml:space="preserve">ideration with a view to understanding concretely how Union </w:t>
      </w:r>
      <w:proofErr w:type="gramStart"/>
      <w:r w:rsidRPr="00151D12">
        <w:rPr>
          <w:rFonts w:eastAsia="MS Mincho"/>
          <w:lang w:val="en-GB" w:eastAsia="en-US"/>
        </w:rPr>
        <w:t>rules</w:t>
      </w:r>
      <w:proofErr w:type="gramEnd"/>
      <w:r w:rsidRPr="00151D12">
        <w:rPr>
          <w:rFonts w:eastAsia="MS Mincho"/>
          <w:lang w:val="en-GB" w:eastAsia="en-US"/>
        </w:rPr>
        <w:t xml:space="preserve"> function and to developing the ability to critically analy</w:t>
      </w:r>
      <w:r w:rsidR="00AE5E41" w:rsidRPr="00151D12">
        <w:rPr>
          <w:rFonts w:eastAsia="MS Mincho"/>
          <w:lang w:val="en-GB" w:eastAsia="en-US"/>
        </w:rPr>
        <w:t>s</w:t>
      </w:r>
      <w:r w:rsidRPr="00151D12">
        <w:rPr>
          <w:rFonts w:eastAsia="MS Mincho"/>
          <w:lang w:val="en-GB" w:eastAsia="en-US"/>
        </w:rPr>
        <w:t>e the rules typical of the judicial function.</w:t>
      </w:r>
    </w:p>
    <w:p w14:paraId="7A86D59D" w14:textId="5498DBAC" w:rsidR="00C74F40" w:rsidRPr="00151D12" w:rsidRDefault="00A67B58" w:rsidP="006F6CC6">
      <w:pPr>
        <w:spacing w:before="240" w:after="120" w:line="240" w:lineRule="exact"/>
        <w:rPr>
          <w:rFonts w:eastAsia="MS Mincho"/>
          <w:b/>
          <w:sz w:val="18"/>
          <w:lang w:val="en-GB" w:eastAsia="en-US"/>
        </w:rPr>
      </w:pPr>
      <w:r w:rsidRPr="00151D12">
        <w:rPr>
          <w:b/>
          <w:i/>
          <w:sz w:val="18"/>
          <w:lang w:val="en-GB"/>
        </w:rPr>
        <w:t>COURSE CONTENT</w:t>
      </w:r>
    </w:p>
    <w:p w14:paraId="21BDF235" w14:textId="39305728" w:rsidR="00C74F40" w:rsidRPr="00151D12" w:rsidRDefault="006E72CB" w:rsidP="006F6CC6">
      <w:pPr>
        <w:spacing w:line="240" w:lineRule="exact"/>
        <w:rPr>
          <w:rFonts w:eastAsia="MS Mincho"/>
          <w:lang w:val="en-GB" w:eastAsia="en-US"/>
        </w:rPr>
      </w:pPr>
      <w:r w:rsidRPr="00151D12">
        <w:rPr>
          <w:rFonts w:eastAsia="MS Mincho"/>
          <w:lang w:val="en-GB" w:eastAsia="en-US"/>
        </w:rPr>
        <w:t>The course aims to illustrate the institutional profiles of the European Union</w:t>
      </w:r>
      <w:r w:rsidR="00EF4287" w:rsidRPr="00151D12">
        <w:rPr>
          <w:rFonts w:eastAsia="MS Mincho"/>
          <w:lang w:val="en-GB" w:eastAsia="en-US"/>
        </w:rPr>
        <w:t xml:space="preserve"> (</w:t>
      </w:r>
      <w:r w:rsidR="009932C6" w:rsidRPr="00151D12">
        <w:rPr>
          <w:rFonts w:eastAsia="MS Mincho"/>
          <w:lang w:val="en-GB" w:eastAsia="en-US"/>
        </w:rPr>
        <w:t xml:space="preserve">including the economic and monetary Union) </w:t>
      </w:r>
      <w:r w:rsidRPr="00151D12">
        <w:rPr>
          <w:rFonts w:eastAsia="MS Mincho"/>
          <w:lang w:val="en-GB" w:eastAsia="en-US"/>
        </w:rPr>
        <w:t xml:space="preserve">and European internal market law, by highlighting the relevance of EU law in the Italian legal system. The contextualisation of the EU institutional structure will be followed by the study of the primary sources and sources of law production included in the Treaties, especially </w:t>
      </w:r>
      <w:proofErr w:type="gramStart"/>
      <w:r w:rsidRPr="00151D12">
        <w:rPr>
          <w:rFonts w:eastAsia="MS Mincho"/>
          <w:lang w:val="en-GB" w:eastAsia="en-US"/>
        </w:rPr>
        <w:t>with regard to</w:t>
      </w:r>
      <w:proofErr w:type="gramEnd"/>
      <w:r w:rsidRPr="00151D12">
        <w:rPr>
          <w:rFonts w:eastAsia="MS Mincho"/>
          <w:lang w:val="en-GB" w:eastAsia="en-US"/>
        </w:rPr>
        <w:t xml:space="preserve"> the following profiles: the fulfilment of the Member States' duties resulting from their membership in the EU legal system; effective judicial protection of private individuals: direct effects, compliant interpretation, compensatory protection; the protection of fundamental rights in the EU. </w:t>
      </w:r>
      <w:r w:rsidR="000E0ECD" w:rsidRPr="00151D12">
        <w:rPr>
          <w:rFonts w:eastAsia="MS Mincho"/>
          <w:lang w:val="en-GB" w:eastAsia="en-US"/>
        </w:rPr>
        <w:t xml:space="preserve">The next part of the course will explore the main aspects of integration in the EU, namely the freedom of movement, and, only for attending students and if the development of the contents in class allows it: the competition discipline; Member State aid to businesses. </w:t>
      </w:r>
      <w:r w:rsidR="00C74F40" w:rsidRPr="00151D12">
        <w:rPr>
          <w:rFonts w:eastAsia="MS Mincho"/>
          <w:lang w:val="en-GB" w:eastAsia="en-US"/>
        </w:rPr>
        <w:t xml:space="preserve">  </w:t>
      </w:r>
    </w:p>
    <w:p w14:paraId="0F018CA3" w14:textId="74F0CF29" w:rsidR="00C74F40" w:rsidRPr="00151D12" w:rsidRDefault="00A67B58" w:rsidP="006F6CC6">
      <w:pPr>
        <w:spacing w:before="240" w:after="120"/>
        <w:rPr>
          <w:b/>
          <w:i/>
          <w:sz w:val="18"/>
          <w:lang w:val="en-GB"/>
        </w:rPr>
      </w:pPr>
      <w:r w:rsidRPr="00151D12">
        <w:rPr>
          <w:b/>
          <w:i/>
          <w:sz w:val="18"/>
          <w:lang w:val="en-GB"/>
        </w:rPr>
        <w:t>READING LIST</w:t>
      </w:r>
    </w:p>
    <w:p w14:paraId="497CF13A" w14:textId="3AF62B8D" w:rsidR="00C74F40" w:rsidRPr="00151D12" w:rsidRDefault="00EB734A" w:rsidP="006F6CC6">
      <w:pPr>
        <w:pStyle w:val="Testo2"/>
        <w:ind w:left="284" w:hanging="284"/>
        <w:rPr>
          <w:noProof w:val="0"/>
          <w:lang w:val="en-GB"/>
        </w:rPr>
      </w:pPr>
      <w:r w:rsidRPr="00151D12">
        <w:rPr>
          <w:noProof w:val="0"/>
          <w:lang w:val="en-GB"/>
        </w:rPr>
        <w:lastRenderedPageBreak/>
        <w:t>To pass the exam, students are required to study and know the volumes specified in no. 1 and n</w:t>
      </w:r>
      <w:r w:rsidR="005E75D9" w:rsidRPr="00151D12">
        <w:rPr>
          <w:noProof w:val="0"/>
          <w:lang w:val="en-GB"/>
        </w:rPr>
        <w:t>o</w:t>
      </w:r>
      <w:r w:rsidRPr="00151D12">
        <w:rPr>
          <w:noProof w:val="0"/>
          <w:lang w:val="en-GB"/>
        </w:rPr>
        <w:t xml:space="preserve">. 2 below:  </w:t>
      </w:r>
    </w:p>
    <w:p w14:paraId="593F17C2" w14:textId="42328B70" w:rsidR="00C74F40" w:rsidRPr="00024CB2" w:rsidRDefault="00C74F40" w:rsidP="006F6CC6">
      <w:pPr>
        <w:pStyle w:val="Testo2"/>
        <w:ind w:left="284" w:hanging="284"/>
        <w:rPr>
          <w:smallCaps/>
          <w:noProof w:val="0"/>
          <w:sz w:val="16"/>
          <w:szCs w:val="16"/>
          <w:lang w:val="en-GB"/>
        </w:rPr>
      </w:pPr>
      <w:r w:rsidRPr="00024CB2">
        <w:rPr>
          <w:noProof w:val="0"/>
          <w:lang w:val="en-GB"/>
        </w:rPr>
        <w:t>1.</w:t>
      </w:r>
      <w:r w:rsidRPr="00024CB2">
        <w:rPr>
          <w:noProof w:val="0"/>
          <w:lang w:val="en-GB"/>
        </w:rPr>
        <w:tab/>
      </w:r>
      <w:r w:rsidR="00EB734A" w:rsidRPr="00024CB2">
        <w:rPr>
          <w:smallCaps/>
          <w:noProof w:val="0"/>
          <w:spacing w:val="-5"/>
          <w:sz w:val="16"/>
          <w:lang w:val="en-GB"/>
        </w:rPr>
        <w:t xml:space="preserve">U. </w:t>
      </w:r>
      <w:proofErr w:type="spellStart"/>
      <w:r w:rsidR="00EB734A" w:rsidRPr="00024CB2">
        <w:rPr>
          <w:smallCaps/>
          <w:noProof w:val="0"/>
          <w:spacing w:val="-5"/>
          <w:sz w:val="16"/>
          <w:lang w:val="en-GB"/>
        </w:rPr>
        <w:t>Draetta</w:t>
      </w:r>
      <w:proofErr w:type="spellEnd"/>
      <w:r w:rsidR="00EB734A" w:rsidRPr="00024CB2">
        <w:rPr>
          <w:smallCaps/>
          <w:noProof w:val="0"/>
          <w:spacing w:val="-5"/>
          <w:sz w:val="16"/>
          <w:lang w:val="en-GB"/>
        </w:rPr>
        <w:t xml:space="preserve">-F. </w:t>
      </w:r>
      <w:proofErr w:type="spellStart"/>
      <w:r w:rsidR="00EB734A" w:rsidRPr="00024CB2">
        <w:rPr>
          <w:smallCaps/>
          <w:noProof w:val="0"/>
          <w:spacing w:val="-5"/>
          <w:sz w:val="16"/>
          <w:lang w:val="en-GB"/>
        </w:rPr>
        <w:t>Bestagno</w:t>
      </w:r>
      <w:proofErr w:type="spellEnd"/>
      <w:r w:rsidR="00EB734A" w:rsidRPr="00024CB2">
        <w:rPr>
          <w:smallCaps/>
          <w:noProof w:val="0"/>
          <w:spacing w:val="-5"/>
          <w:sz w:val="16"/>
          <w:lang w:val="en-GB"/>
        </w:rPr>
        <w:t>-A. Santini,</w:t>
      </w:r>
      <w:r w:rsidR="00EB734A" w:rsidRPr="00024CB2">
        <w:rPr>
          <w:i/>
          <w:noProof w:val="0"/>
          <w:spacing w:val="-5"/>
          <w:lang w:val="en-GB"/>
        </w:rPr>
        <w:t xml:space="preserve"> </w:t>
      </w:r>
      <w:proofErr w:type="spellStart"/>
      <w:r w:rsidR="00EB734A" w:rsidRPr="00024CB2">
        <w:rPr>
          <w:i/>
          <w:noProof w:val="0"/>
          <w:spacing w:val="-5"/>
          <w:lang w:val="en-GB"/>
        </w:rPr>
        <w:t>Elementi</w:t>
      </w:r>
      <w:proofErr w:type="spellEnd"/>
      <w:r w:rsidR="00EB734A" w:rsidRPr="00024CB2">
        <w:rPr>
          <w:i/>
          <w:noProof w:val="0"/>
          <w:spacing w:val="-5"/>
          <w:lang w:val="en-GB"/>
        </w:rPr>
        <w:t xml:space="preserve"> di </w:t>
      </w:r>
      <w:proofErr w:type="spellStart"/>
      <w:r w:rsidR="00EB734A" w:rsidRPr="00024CB2">
        <w:rPr>
          <w:i/>
          <w:noProof w:val="0"/>
          <w:spacing w:val="-5"/>
          <w:lang w:val="en-GB"/>
        </w:rPr>
        <w:t>Diritto</w:t>
      </w:r>
      <w:proofErr w:type="spellEnd"/>
      <w:r w:rsidR="00EB734A" w:rsidRPr="00024CB2">
        <w:rPr>
          <w:i/>
          <w:noProof w:val="0"/>
          <w:spacing w:val="-5"/>
          <w:lang w:val="en-GB"/>
        </w:rPr>
        <w:t xml:space="preserve"> </w:t>
      </w:r>
      <w:proofErr w:type="spellStart"/>
      <w:r w:rsidR="00EB734A" w:rsidRPr="00024CB2">
        <w:rPr>
          <w:i/>
          <w:noProof w:val="0"/>
          <w:spacing w:val="-5"/>
          <w:lang w:val="en-GB"/>
        </w:rPr>
        <w:t>dell’Unione</w:t>
      </w:r>
      <w:proofErr w:type="spellEnd"/>
      <w:r w:rsidR="00EB734A" w:rsidRPr="00024CB2">
        <w:rPr>
          <w:i/>
          <w:noProof w:val="0"/>
          <w:spacing w:val="-5"/>
          <w:lang w:val="en-GB"/>
        </w:rPr>
        <w:t xml:space="preserve"> </w:t>
      </w:r>
      <w:proofErr w:type="spellStart"/>
      <w:r w:rsidR="00EB734A" w:rsidRPr="00024CB2">
        <w:rPr>
          <w:i/>
          <w:noProof w:val="0"/>
          <w:spacing w:val="-5"/>
          <w:lang w:val="en-GB"/>
        </w:rPr>
        <w:t>europea</w:t>
      </w:r>
      <w:proofErr w:type="spellEnd"/>
      <w:r w:rsidR="00EB734A" w:rsidRPr="00024CB2">
        <w:rPr>
          <w:i/>
          <w:noProof w:val="0"/>
          <w:spacing w:val="-5"/>
          <w:lang w:val="en-GB"/>
        </w:rPr>
        <w:t>,</w:t>
      </w:r>
      <w:r w:rsidR="00EB734A" w:rsidRPr="00024CB2">
        <w:rPr>
          <w:noProof w:val="0"/>
          <w:spacing w:val="-5"/>
          <w:lang w:val="en-GB"/>
        </w:rPr>
        <w:t xml:space="preserve"> </w:t>
      </w:r>
      <w:proofErr w:type="spellStart"/>
      <w:r w:rsidR="00F57E29" w:rsidRPr="00024CB2">
        <w:rPr>
          <w:noProof w:val="0"/>
          <w:spacing w:val="-5"/>
          <w:lang w:val="en-GB"/>
        </w:rPr>
        <w:t>Istitutional</w:t>
      </w:r>
      <w:proofErr w:type="spellEnd"/>
      <w:r w:rsidR="00F57E29" w:rsidRPr="00024CB2">
        <w:rPr>
          <w:noProof w:val="0"/>
          <w:spacing w:val="-5"/>
          <w:lang w:val="en-GB"/>
        </w:rPr>
        <w:t xml:space="preserve"> part</w:t>
      </w:r>
      <w:r w:rsidR="00EB734A" w:rsidRPr="00024CB2">
        <w:rPr>
          <w:noProof w:val="0"/>
          <w:spacing w:val="-5"/>
          <w:lang w:val="en-GB"/>
        </w:rPr>
        <w:t xml:space="preserve">, </w:t>
      </w:r>
      <w:proofErr w:type="spellStart"/>
      <w:r w:rsidR="00EB734A" w:rsidRPr="00024CB2">
        <w:rPr>
          <w:noProof w:val="0"/>
          <w:spacing w:val="-5"/>
          <w:lang w:val="en-GB"/>
        </w:rPr>
        <w:t>Giuffrè</w:t>
      </w:r>
      <w:proofErr w:type="spellEnd"/>
      <w:r w:rsidR="00EB734A" w:rsidRPr="00024CB2">
        <w:rPr>
          <w:noProof w:val="0"/>
          <w:spacing w:val="-5"/>
          <w:lang w:val="en-GB"/>
        </w:rPr>
        <w:t>, Milan, 20</w:t>
      </w:r>
      <w:r w:rsidR="00555D9A">
        <w:rPr>
          <w:noProof w:val="0"/>
          <w:spacing w:val="-5"/>
          <w:lang w:val="en-GB"/>
        </w:rPr>
        <w:t>22</w:t>
      </w:r>
      <w:r w:rsidR="00EB734A" w:rsidRPr="00024CB2">
        <w:rPr>
          <w:noProof w:val="0"/>
          <w:spacing w:val="-5"/>
          <w:lang w:val="en-GB"/>
        </w:rPr>
        <w:t xml:space="preserve">, </w:t>
      </w:r>
      <w:r w:rsidR="00555D9A">
        <w:rPr>
          <w:noProof w:val="0"/>
          <w:spacing w:val="-5"/>
          <w:lang w:val="en-GB"/>
        </w:rPr>
        <w:t>7</w:t>
      </w:r>
      <w:r w:rsidR="00EB734A" w:rsidRPr="00024CB2">
        <w:rPr>
          <w:noProof w:val="0"/>
          <w:spacing w:val="-5"/>
          <w:vertAlign w:val="superscript"/>
          <w:lang w:val="en-GB"/>
        </w:rPr>
        <w:t>th</w:t>
      </w:r>
      <w:r w:rsidR="00EB734A" w:rsidRPr="00024CB2">
        <w:rPr>
          <w:noProof w:val="0"/>
          <w:spacing w:val="-5"/>
          <w:lang w:val="en-GB"/>
        </w:rPr>
        <w:t xml:space="preserve"> ed., the entire volume with </w:t>
      </w:r>
      <w:r w:rsidR="00AC40CC" w:rsidRPr="00024CB2">
        <w:rPr>
          <w:noProof w:val="0"/>
          <w:spacing w:val="-5"/>
          <w:lang w:val="en-GB"/>
        </w:rPr>
        <w:t>the only exception of chapter nine</w:t>
      </w:r>
      <w:r w:rsidR="00EB734A" w:rsidRPr="00024CB2">
        <w:rPr>
          <w:noProof w:val="0"/>
          <w:spacing w:val="-5"/>
          <w:lang w:val="en-GB"/>
        </w:rPr>
        <w:t>.</w:t>
      </w:r>
    </w:p>
    <w:p w14:paraId="044F840A" w14:textId="5055BF36" w:rsidR="00C74F40" w:rsidRDefault="00C74F40" w:rsidP="00024CB2">
      <w:pPr>
        <w:pStyle w:val="Testo2"/>
        <w:spacing w:before="120"/>
        <w:ind w:left="284" w:hanging="284"/>
        <w:rPr>
          <w:noProof w:val="0"/>
          <w:spacing w:val="-5"/>
          <w:lang w:val="en-GB"/>
        </w:rPr>
      </w:pPr>
      <w:r w:rsidRPr="00024CB2">
        <w:rPr>
          <w:noProof w:val="0"/>
        </w:rPr>
        <w:t>2.</w:t>
      </w:r>
      <w:r w:rsidRPr="00024CB2">
        <w:rPr>
          <w:noProof w:val="0"/>
        </w:rPr>
        <w:tab/>
      </w:r>
      <w:r w:rsidR="004F34BE" w:rsidRPr="00024CB2">
        <w:rPr>
          <w:smallCaps/>
          <w:spacing w:val="-5"/>
        </w:rPr>
        <w:t xml:space="preserve">A. Arena-F. Bestagno-G. </w:t>
      </w:r>
      <w:r w:rsidR="004F34BE" w:rsidRPr="00024CB2">
        <w:rPr>
          <w:smallCaps/>
          <w:spacing w:val="-5"/>
          <w:lang w:val="en-US"/>
        </w:rPr>
        <w:t>Rossolillo,</w:t>
      </w:r>
      <w:r w:rsidR="004F34BE" w:rsidRPr="00024CB2">
        <w:rPr>
          <w:i/>
          <w:spacing w:val="-5"/>
          <w:lang w:val="en-US"/>
        </w:rPr>
        <w:t xml:space="preserve"> Mercato unico e libertà di circolazione nell’Unione europea,</w:t>
      </w:r>
      <w:r w:rsidR="004F34BE" w:rsidRPr="00024CB2">
        <w:rPr>
          <w:spacing w:val="-5"/>
          <w:lang w:val="en-US"/>
        </w:rPr>
        <w:t xml:space="preserve"> Giappichelli, 2020, 2ª ed.</w:t>
      </w:r>
      <w:r w:rsidR="004149EB" w:rsidRPr="00024CB2">
        <w:rPr>
          <w:spacing w:val="-5"/>
          <w:lang w:val="en-US"/>
        </w:rPr>
        <w:t xml:space="preserve">, </w:t>
      </w:r>
      <w:r w:rsidR="004F34BE" w:rsidRPr="00024CB2">
        <w:rPr>
          <w:spacing w:val="-5"/>
          <w:lang w:val="en-US"/>
        </w:rPr>
        <w:t>of which students should study the following sections:</w:t>
      </w:r>
      <w:r w:rsidR="004F34BE" w:rsidRPr="004F34BE">
        <w:rPr>
          <w:spacing w:val="-5"/>
          <w:lang w:val="en-US"/>
        </w:rPr>
        <w:t xml:space="preserve"> chapter  I, sections A, B, C, D, E e F; chapter II, sections A, B e C; chapter III, sections A e B; chapter IV, sections A, B e C; chapter V, sections A, B e C; chapter VI, sections A e B.</w:t>
      </w:r>
      <w:r w:rsidR="004F34BE" w:rsidRPr="004F34BE">
        <w:rPr>
          <w:rStyle w:val="Collegamentoipertestuale"/>
          <w:rFonts w:ascii="Palatino Linotype" w:hAnsi="Palatino Linotype"/>
          <w:i/>
          <w:sz w:val="22"/>
          <w:szCs w:val="22"/>
          <w:lang w:val="en-US"/>
        </w:rPr>
        <w:t xml:space="preserve"> </w:t>
      </w:r>
      <w:r w:rsidR="009547B1" w:rsidRPr="00151D12">
        <w:rPr>
          <w:noProof w:val="0"/>
          <w:spacing w:val="-5"/>
          <w:lang w:val="en-GB"/>
        </w:rPr>
        <w:t xml:space="preserve">In the </w:t>
      </w:r>
      <w:r w:rsidR="004F34BE">
        <w:rPr>
          <w:noProof w:val="0"/>
          <w:spacing w:val="-5"/>
          <w:lang w:val="en-GB"/>
        </w:rPr>
        <w:t>sections</w:t>
      </w:r>
      <w:r w:rsidR="009547B1" w:rsidRPr="00151D12">
        <w:rPr>
          <w:noProof w:val="0"/>
          <w:spacing w:val="-5"/>
          <w:lang w:val="en-GB"/>
        </w:rPr>
        <w:t xml:space="preserve"> specified, all the Comments and only the </w:t>
      </w:r>
      <w:r w:rsidR="00206E99" w:rsidRPr="00151D12">
        <w:rPr>
          <w:noProof w:val="0"/>
          <w:spacing w:val="-5"/>
          <w:lang w:val="en-GB"/>
        </w:rPr>
        <w:t>judgements</w:t>
      </w:r>
      <w:r w:rsidR="009547B1" w:rsidRPr="00151D12">
        <w:rPr>
          <w:noProof w:val="0"/>
          <w:spacing w:val="-5"/>
          <w:lang w:val="en-GB"/>
        </w:rPr>
        <w:t xml:space="preserve"> indicated below are part of the examination</w:t>
      </w:r>
      <w:r w:rsidR="004F34BE">
        <w:rPr>
          <w:noProof w:val="0"/>
          <w:spacing w:val="-5"/>
          <w:lang w:val="en-GB"/>
        </w:rPr>
        <w:t>.</w:t>
      </w:r>
    </w:p>
    <w:p w14:paraId="04954C4B" w14:textId="06E46DDB" w:rsidR="004149EB" w:rsidRPr="000723C1" w:rsidRDefault="004149EB" w:rsidP="00024CB2">
      <w:pPr>
        <w:pStyle w:val="Testo2"/>
        <w:spacing w:before="120"/>
        <w:ind w:left="284" w:hanging="284"/>
        <w:rPr>
          <w:noProof w:val="0"/>
          <w:spacing w:val="-5"/>
          <w:lang w:val="en-US"/>
        </w:rPr>
      </w:pPr>
      <w:r>
        <w:rPr>
          <w:noProof w:val="0"/>
          <w:spacing w:val="-5"/>
          <w:lang w:val="en-GB"/>
        </w:rPr>
        <w:tab/>
      </w:r>
      <w:r w:rsidR="00257830">
        <w:rPr>
          <w:spacing w:val="-5"/>
          <w:u w:val="single"/>
          <w:lang w:val="en-US"/>
        </w:rPr>
        <w:t>Students</w:t>
      </w:r>
      <w:r w:rsidR="000723C1" w:rsidRPr="000723C1">
        <w:rPr>
          <w:spacing w:val="-5"/>
          <w:u w:val="single"/>
          <w:lang w:val="en-US"/>
        </w:rPr>
        <w:t xml:space="preserve"> in possession of the First Edition, 2016,</w:t>
      </w:r>
      <w:r w:rsidR="00257830">
        <w:rPr>
          <w:spacing w:val="-5"/>
          <w:u w:val="single"/>
          <w:lang w:val="en-US"/>
        </w:rPr>
        <w:t>should study the followiong pages</w:t>
      </w:r>
      <w:r w:rsidR="000723C1" w:rsidRPr="000723C1">
        <w:rPr>
          <w:spacing w:val="-5"/>
          <w:u w:val="single"/>
          <w:lang w:val="en-US"/>
        </w:rPr>
        <w:t>: pp. 1-180; 195-220; 265-282; 331-353; 362-366, as well as the judgments related to the first edition reported at the bottom of the program</w:t>
      </w:r>
    </w:p>
    <w:p w14:paraId="79891ABE" w14:textId="31EAD4EF" w:rsidR="00C74F40" w:rsidRPr="00151D12" w:rsidRDefault="00A67B58" w:rsidP="00C74F40">
      <w:pPr>
        <w:spacing w:before="240" w:after="120"/>
        <w:rPr>
          <w:b/>
          <w:i/>
          <w:sz w:val="18"/>
          <w:lang w:val="en-GB"/>
        </w:rPr>
      </w:pPr>
      <w:r w:rsidRPr="00151D12">
        <w:rPr>
          <w:b/>
          <w:i/>
          <w:sz w:val="18"/>
          <w:lang w:val="en-GB"/>
        </w:rPr>
        <w:t>TEACHING METHOD</w:t>
      </w:r>
    </w:p>
    <w:p w14:paraId="1BD3E42F" w14:textId="645DC7F5" w:rsidR="00C74F40" w:rsidRPr="00151D12" w:rsidRDefault="009547B1" w:rsidP="00C74F40">
      <w:pPr>
        <w:pStyle w:val="Testo2"/>
        <w:rPr>
          <w:noProof w:val="0"/>
          <w:lang w:val="en-GB"/>
        </w:rPr>
      </w:pPr>
      <w:r w:rsidRPr="00151D12">
        <w:rPr>
          <w:noProof w:val="0"/>
          <w:lang w:val="en-GB"/>
        </w:rPr>
        <w:t xml:space="preserve">The teaching method is mainly based on classroom lectures held by the lecturer. The teaching activities of this course are traditionally characterised by the combination of the theoretical </w:t>
      </w:r>
      <w:r w:rsidR="001A6EE3" w:rsidRPr="00151D12">
        <w:rPr>
          <w:noProof w:val="0"/>
          <w:lang w:val="en-GB"/>
        </w:rPr>
        <w:t xml:space="preserve">and regulatory framework of the EU legal system with the </w:t>
      </w:r>
      <w:r w:rsidRPr="00151D12">
        <w:rPr>
          <w:noProof w:val="0"/>
          <w:lang w:val="en-GB"/>
        </w:rPr>
        <w:t xml:space="preserve">examination of the Court of Justice </w:t>
      </w:r>
      <w:r w:rsidR="001A6EE3" w:rsidRPr="00151D12">
        <w:rPr>
          <w:noProof w:val="0"/>
          <w:lang w:val="en-GB"/>
        </w:rPr>
        <w:t>case law</w:t>
      </w:r>
      <w:r w:rsidRPr="00151D12">
        <w:rPr>
          <w:noProof w:val="0"/>
          <w:lang w:val="en-GB"/>
        </w:rPr>
        <w:t xml:space="preserve">. A wide range of reference </w:t>
      </w:r>
      <w:r w:rsidR="003D2B72" w:rsidRPr="00151D12">
        <w:rPr>
          <w:noProof w:val="0"/>
          <w:lang w:val="en-GB"/>
        </w:rPr>
        <w:t>judgements</w:t>
      </w:r>
      <w:r w:rsidRPr="00151D12">
        <w:rPr>
          <w:noProof w:val="0"/>
          <w:lang w:val="en-GB"/>
        </w:rPr>
        <w:t xml:space="preserve"> taken from EU </w:t>
      </w:r>
      <w:r w:rsidR="001A6EE3" w:rsidRPr="00151D12">
        <w:rPr>
          <w:noProof w:val="0"/>
          <w:lang w:val="en-GB"/>
        </w:rPr>
        <w:t>case law</w:t>
      </w:r>
      <w:r w:rsidRPr="00151D12">
        <w:rPr>
          <w:noProof w:val="0"/>
          <w:lang w:val="en-GB"/>
        </w:rPr>
        <w:t xml:space="preserve"> is analy</w:t>
      </w:r>
      <w:r w:rsidR="001A6EE3" w:rsidRPr="00151D12">
        <w:rPr>
          <w:noProof w:val="0"/>
          <w:lang w:val="en-GB"/>
        </w:rPr>
        <w:t>s</w:t>
      </w:r>
      <w:r w:rsidRPr="00151D12">
        <w:rPr>
          <w:noProof w:val="0"/>
          <w:lang w:val="en-GB"/>
        </w:rPr>
        <w:t xml:space="preserve">ed in </w:t>
      </w:r>
      <w:r w:rsidR="001A6EE3" w:rsidRPr="00151D12">
        <w:rPr>
          <w:noProof w:val="0"/>
          <w:lang w:val="en-GB"/>
        </w:rPr>
        <w:t>class</w:t>
      </w:r>
      <w:r w:rsidRPr="00151D12">
        <w:rPr>
          <w:noProof w:val="0"/>
          <w:lang w:val="en-GB"/>
        </w:rPr>
        <w:t xml:space="preserve"> and is the subject of in-depth study and critical discussion with students</w:t>
      </w:r>
      <w:r w:rsidR="003D2B72" w:rsidRPr="00151D12">
        <w:rPr>
          <w:noProof w:val="0"/>
          <w:lang w:val="en-GB"/>
        </w:rPr>
        <w:t>.</w:t>
      </w:r>
    </w:p>
    <w:p w14:paraId="08AACE5D" w14:textId="1EE24C48" w:rsidR="001A6EE3" w:rsidRPr="00151D12" w:rsidRDefault="001A6EE3" w:rsidP="001A6EE3">
      <w:pPr>
        <w:pStyle w:val="Testo2"/>
        <w:rPr>
          <w:noProof w:val="0"/>
          <w:lang w:val="en-GB"/>
        </w:rPr>
      </w:pPr>
      <w:r w:rsidRPr="00151D12">
        <w:rPr>
          <w:noProof w:val="0"/>
          <w:lang w:val="en-GB"/>
        </w:rPr>
        <w:t>This teaching method is used due to the key role of the EU case law in the development and definition of the distinctive features, of the general principles and of the substantive law of the EU legal system.</w:t>
      </w:r>
    </w:p>
    <w:p w14:paraId="2AE5ADFA" w14:textId="1518EDB7" w:rsidR="00C74F40" w:rsidRPr="00151D12" w:rsidRDefault="001A6EE3" w:rsidP="001A6EE3">
      <w:pPr>
        <w:pStyle w:val="Testo2"/>
        <w:rPr>
          <w:noProof w:val="0"/>
          <w:lang w:val="en-GB"/>
        </w:rPr>
      </w:pPr>
      <w:r w:rsidRPr="00151D12">
        <w:rPr>
          <w:noProof w:val="0"/>
          <w:lang w:val="en-GB"/>
        </w:rPr>
        <w:t xml:space="preserve">The analysis of the judgments is also aimed at allowing students to develop the knowledge of the Court of Justice reasoning and argumentation method. </w:t>
      </w:r>
    </w:p>
    <w:p w14:paraId="42251A90" w14:textId="2585A5EB" w:rsidR="00C74F40" w:rsidRPr="00151D12" w:rsidRDefault="00A67B58" w:rsidP="00C74F40">
      <w:pPr>
        <w:spacing w:before="240" w:after="120"/>
        <w:rPr>
          <w:b/>
          <w:i/>
          <w:sz w:val="18"/>
          <w:lang w:val="en-GB"/>
        </w:rPr>
      </w:pPr>
      <w:r w:rsidRPr="00151D12">
        <w:rPr>
          <w:b/>
          <w:i/>
          <w:sz w:val="18"/>
          <w:lang w:val="en-GB"/>
        </w:rPr>
        <w:t>ASSESSMENT METHOD AND CRITERIA</w:t>
      </w:r>
    </w:p>
    <w:p w14:paraId="2478EA92" w14:textId="06E34D98" w:rsidR="00C74F40" w:rsidRPr="00151D12" w:rsidRDefault="001A6EE3" w:rsidP="00EF4287">
      <w:pPr>
        <w:pStyle w:val="Testo2"/>
        <w:rPr>
          <w:lang w:val="en-US"/>
        </w:rPr>
      </w:pPr>
      <w:r w:rsidRPr="00151D12">
        <w:rPr>
          <w:noProof w:val="0"/>
          <w:lang w:val="en-GB"/>
        </w:rPr>
        <w:t>Oral</w:t>
      </w:r>
      <w:r w:rsidR="00EF4287" w:rsidRPr="00151D12">
        <w:rPr>
          <w:noProof w:val="0"/>
          <w:lang w:val="en-GB"/>
        </w:rPr>
        <w:t xml:space="preserve"> or written</w:t>
      </w:r>
      <w:r w:rsidRPr="00151D12">
        <w:rPr>
          <w:noProof w:val="0"/>
          <w:lang w:val="en-GB"/>
        </w:rPr>
        <w:t xml:space="preserve"> exams, aimed at assessing the knowledge of the institutional framework of the EU, of the system of sources, of the relations with domestic law, the EU disputes, and of the freedom of movement in the EU internal market</w:t>
      </w:r>
      <w:r w:rsidR="00EF4287" w:rsidRPr="00151D12">
        <w:rPr>
          <w:noProof w:val="0"/>
          <w:lang w:val="en-GB"/>
        </w:rPr>
        <w:t xml:space="preserve">, </w:t>
      </w:r>
      <w:r w:rsidR="009932C6" w:rsidRPr="00151D12">
        <w:rPr>
          <w:noProof w:val="0"/>
          <w:lang w:val="en-GB"/>
        </w:rPr>
        <w:t xml:space="preserve">also by referring to the judgments indicated below. </w:t>
      </w:r>
    </w:p>
    <w:p w14:paraId="773C4F10" w14:textId="0C58D7CB" w:rsidR="00EF4287" w:rsidRPr="00151D12" w:rsidRDefault="009932C6" w:rsidP="00EF4287">
      <w:pPr>
        <w:pStyle w:val="Testo2"/>
        <w:spacing w:before="120"/>
        <w:rPr>
          <w:lang w:val="en-US"/>
        </w:rPr>
      </w:pPr>
      <w:r w:rsidRPr="00151D12">
        <w:rPr>
          <w:lang w:val="en-US"/>
        </w:rPr>
        <w:t xml:space="preserve">Judgements of the Court of Justice to be </w:t>
      </w:r>
      <w:r w:rsidR="00AE5E41" w:rsidRPr="00151D12">
        <w:rPr>
          <w:lang w:val="en-US"/>
        </w:rPr>
        <w:t>prepared using</w:t>
      </w:r>
      <w:r w:rsidRPr="00151D12">
        <w:rPr>
          <w:lang w:val="en-US"/>
        </w:rPr>
        <w:t xml:space="preserve"> </w:t>
      </w:r>
      <w:r w:rsidRPr="00151D12">
        <w:rPr>
          <w:noProof w:val="0"/>
          <w:u w:val="single"/>
          <w:lang w:val="en-GB"/>
        </w:rPr>
        <w:t>the 2</w:t>
      </w:r>
      <w:r w:rsidRPr="00151D12">
        <w:rPr>
          <w:noProof w:val="0"/>
          <w:u w:val="single"/>
          <w:vertAlign w:val="superscript"/>
          <w:lang w:val="en-GB"/>
        </w:rPr>
        <w:t>nd</w:t>
      </w:r>
      <w:r w:rsidRPr="00151D12">
        <w:rPr>
          <w:noProof w:val="0"/>
          <w:u w:val="single"/>
          <w:lang w:val="en-GB"/>
        </w:rPr>
        <w:t xml:space="preserve"> edition</w:t>
      </w:r>
      <w:r w:rsidRPr="00151D12">
        <w:rPr>
          <w:lang w:val="en-US"/>
        </w:rPr>
        <w:t xml:space="preserve"> of the book </w:t>
      </w:r>
      <w:r w:rsidR="00AE5E41" w:rsidRPr="00151D12">
        <w:rPr>
          <w:lang w:val="en-US"/>
        </w:rPr>
        <w:t>‘</w:t>
      </w:r>
      <w:r w:rsidR="00EF4287" w:rsidRPr="00151D12">
        <w:rPr>
          <w:lang w:val="en-US"/>
        </w:rPr>
        <w:t>Mercato unico e libertà di circolazione nell’Unione europea</w:t>
      </w:r>
      <w:r w:rsidR="00AE5E41" w:rsidRPr="00151D12">
        <w:rPr>
          <w:lang w:val="en-US"/>
        </w:rPr>
        <w:t>’</w:t>
      </w:r>
      <w:r w:rsidR="00EF4287" w:rsidRPr="00151D12">
        <w:rPr>
          <w:lang w:val="en-US"/>
        </w:rPr>
        <w:t>:</w:t>
      </w:r>
    </w:p>
    <w:p w14:paraId="5FB20382" w14:textId="77777777" w:rsidR="00EF4287" w:rsidRPr="00151D12" w:rsidRDefault="00EF4287" w:rsidP="00EF4287">
      <w:pPr>
        <w:pStyle w:val="Testo2"/>
        <w:spacing w:line="240" w:lineRule="auto"/>
        <w:ind w:firstLine="0"/>
        <w:rPr>
          <w:i/>
          <w:lang w:val="en-US"/>
        </w:rPr>
      </w:pPr>
    </w:p>
    <w:p w14:paraId="4B3D853E" w14:textId="77777777" w:rsidR="00EF4287" w:rsidRPr="00151D12" w:rsidRDefault="00EF4287" w:rsidP="00EF4287">
      <w:pPr>
        <w:pStyle w:val="Testo2"/>
        <w:spacing w:line="240" w:lineRule="auto"/>
        <w:ind w:firstLine="0"/>
        <w:rPr>
          <w:i/>
        </w:rPr>
      </w:pPr>
      <w:r w:rsidRPr="00151D12">
        <w:rPr>
          <w:i/>
        </w:rPr>
        <w:t xml:space="preserve">Capitolo 1: La libera circolazione delle merci </w:t>
      </w:r>
    </w:p>
    <w:p w14:paraId="122D6E66" w14:textId="77777777" w:rsidR="00EF4287" w:rsidRPr="00151D12" w:rsidRDefault="00EF4287" w:rsidP="00EF4287">
      <w:pPr>
        <w:pStyle w:val="Testo2"/>
        <w:spacing w:line="240" w:lineRule="auto"/>
        <w:ind w:firstLine="0"/>
        <w:rPr>
          <w:u w:val="single"/>
        </w:rPr>
      </w:pPr>
      <w:r w:rsidRPr="00151D12">
        <w:rPr>
          <w:u w:val="single"/>
        </w:rPr>
        <w:t>B.</w:t>
      </w:r>
      <w:r w:rsidRPr="00151D12">
        <w:rPr>
          <w:u w:val="single"/>
        </w:rPr>
        <w:tab/>
        <w:t xml:space="preserve">Rilevanza ed effetti delle norme di diritto dell’UE in materia di libera circolazione delle merci </w:t>
      </w:r>
    </w:p>
    <w:p w14:paraId="73F0EE7B" w14:textId="77777777" w:rsidR="00EF4287" w:rsidRPr="00151D12" w:rsidRDefault="00EF4287" w:rsidP="00EF4287">
      <w:pPr>
        <w:pStyle w:val="Testo2"/>
        <w:spacing w:line="240" w:lineRule="auto"/>
        <w:ind w:firstLine="0"/>
      </w:pPr>
      <w:r w:rsidRPr="00151D12">
        <w:t>2.1</w:t>
      </w:r>
      <w:r w:rsidRPr="00151D12">
        <w:tab/>
        <w:t>Sentenza 5 febbraio 1963, causa 26/62, Van Gend en Loos (p. 22)</w:t>
      </w:r>
    </w:p>
    <w:p w14:paraId="7CF9E40F" w14:textId="77777777" w:rsidR="00EF4287" w:rsidRPr="00151D12" w:rsidRDefault="00EF4287" w:rsidP="00EF4287">
      <w:pPr>
        <w:pStyle w:val="Testo2"/>
        <w:spacing w:line="240" w:lineRule="auto"/>
        <w:ind w:firstLine="0"/>
      </w:pPr>
      <w:r w:rsidRPr="00151D12">
        <w:t>2.4</w:t>
      </w:r>
      <w:r w:rsidRPr="00151D12">
        <w:tab/>
        <w:t>Sentenza 5 marzo 1996, cause riunite C-46/96 e C-48/93, Brasserie du Pêcheur (p. 27)</w:t>
      </w:r>
    </w:p>
    <w:p w14:paraId="19AF0B90" w14:textId="77777777" w:rsidR="00EF4287" w:rsidRPr="00151D12" w:rsidRDefault="00EF4287" w:rsidP="00EF4287">
      <w:pPr>
        <w:pStyle w:val="Testo2"/>
        <w:spacing w:line="240" w:lineRule="auto"/>
        <w:ind w:firstLine="0"/>
        <w:rPr>
          <w:u w:val="single"/>
        </w:rPr>
      </w:pPr>
      <w:r w:rsidRPr="00151D12">
        <w:rPr>
          <w:u w:val="single"/>
        </w:rPr>
        <w:t>C.</w:t>
      </w:r>
      <w:r w:rsidRPr="00151D12">
        <w:rPr>
          <w:u w:val="single"/>
        </w:rPr>
        <w:tab/>
        <w:t>Il divieto di ostacoli di natura fiscale nel commercio tra stati membri</w:t>
      </w:r>
    </w:p>
    <w:p w14:paraId="6B5B4D61" w14:textId="77777777" w:rsidR="00EF4287" w:rsidRPr="00151D12" w:rsidRDefault="00EF4287" w:rsidP="00EF4287">
      <w:pPr>
        <w:pStyle w:val="Testo2"/>
        <w:spacing w:line="240" w:lineRule="auto"/>
        <w:ind w:firstLine="0"/>
      </w:pPr>
      <w:r w:rsidRPr="00151D12">
        <w:t>2.5</w:t>
      </w:r>
      <w:r w:rsidRPr="00151D12">
        <w:tab/>
        <w:t>Sentenza 4 maggio 1986, causa 106/84, Comm. c. Danimarca (“vini d’uva e di frutta”, p. 43)</w:t>
      </w:r>
    </w:p>
    <w:p w14:paraId="28B479AD" w14:textId="77777777" w:rsidR="00EF4287" w:rsidRPr="00151D12" w:rsidRDefault="00EF4287" w:rsidP="00EF4287">
      <w:pPr>
        <w:pStyle w:val="Testo2"/>
        <w:spacing w:line="240" w:lineRule="auto"/>
        <w:ind w:firstLine="0"/>
        <w:rPr>
          <w:u w:val="single"/>
        </w:rPr>
      </w:pPr>
      <w:r w:rsidRPr="00151D12">
        <w:rPr>
          <w:u w:val="single"/>
        </w:rPr>
        <w:lastRenderedPageBreak/>
        <w:t>D.</w:t>
      </w:r>
      <w:r w:rsidRPr="00151D12">
        <w:rPr>
          <w:u w:val="single"/>
        </w:rPr>
        <w:tab/>
        <w:t xml:space="preserve">Il divieto di restrizioni quantitative e di misure di effetto equivalente: le misure distintamente applicabili </w:t>
      </w:r>
    </w:p>
    <w:p w14:paraId="2EACAA01" w14:textId="77777777" w:rsidR="00EF4287" w:rsidRPr="00151D12" w:rsidRDefault="00EF4287" w:rsidP="00EF4287">
      <w:pPr>
        <w:pStyle w:val="Testo2"/>
        <w:spacing w:line="240" w:lineRule="auto"/>
        <w:ind w:firstLine="0"/>
      </w:pPr>
      <w:r w:rsidRPr="00151D12">
        <w:t>3.1</w:t>
      </w:r>
      <w:r w:rsidRPr="00151D12">
        <w:tab/>
        <w:t>Sentenza 11 luglio 1974, causa 8/74, Dassonville (p. 55)</w:t>
      </w:r>
    </w:p>
    <w:p w14:paraId="3102BF22" w14:textId="77777777" w:rsidR="00EF4287" w:rsidRPr="00151D12" w:rsidRDefault="00EF4287" w:rsidP="00EF4287">
      <w:pPr>
        <w:pStyle w:val="Testo2"/>
        <w:spacing w:line="240" w:lineRule="auto"/>
        <w:ind w:firstLine="0"/>
        <w:rPr>
          <w:u w:val="single"/>
        </w:rPr>
      </w:pPr>
      <w:r w:rsidRPr="00151D12">
        <w:rPr>
          <w:u w:val="single"/>
        </w:rPr>
        <w:t>E.</w:t>
      </w:r>
      <w:r w:rsidRPr="00151D12">
        <w:rPr>
          <w:u w:val="single"/>
        </w:rPr>
        <w:tab/>
        <w:t xml:space="preserve">Segue: le misure indistintamente applicabili </w:t>
      </w:r>
    </w:p>
    <w:p w14:paraId="516B3BDD" w14:textId="77777777" w:rsidR="00EF4287" w:rsidRPr="00151D12" w:rsidRDefault="00EF4287" w:rsidP="00EF4287">
      <w:pPr>
        <w:pStyle w:val="Testo2"/>
        <w:spacing w:line="240" w:lineRule="auto"/>
        <w:ind w:firstLine="0"/>
      </w:pPr>
      <w:r w:rsidRPr="00151D12">
        <w:t>3.1</w:t>
      </w:r>
      <w:r w:rsidRPr="00151D12">
        <w:tab/>
        <w:t>Sentenza 20 febbraio 1979, causa 120/78, "Cassis de Dijon" (p.71)</w:t>
      </w:r>
    </w:p>
    <w:p w14:paraId="19E47630" w14:textId="77777777" w:rsidR="00EF4287" w:rsidRPr="00151D12" w:rsidRDefault="00EF4287" w:rsidP="00EF4287">
      <w:pPr>
        <w:pStyle w:val="Testo2"/>
        <w:spacing w:line="240" w:lineRule="auto"/>
        <w:ind w:firstLine="0"/>
      </w:pPr>
      <w:r w:rsidRPr="00151D12">
        <w:t>3.2</w:t>
      </w:r>
      <w:r w:rsidRPr="00151D12">
        <w:tab/>
        <w:t>Sentenza 24 novembre 1993, cause riunite C-267/91 e C-268/91, Keck e Mithouard (p. 73)</w:t>
      </w:r>
    </w:p>
    <w:p w14:paraId="6C96CE4D" w14:textId="77777777" w:rsidR="00EF4287" w:rsidRPr="00151D12" w:rsidRDefault="00EF4287" w:rsidP="00EF4287">
      <w:pPr>
        <w:pStyle w:val="Testo2"/>
        <w:spacing w:line="240" w:lineRule="auto"/>
        <w:ind w:firstLine="0"/>
      </w:pPr>
      <w:r w:rsidRPr="00151D12">
        <w:t>3.4</w:t>
      </w:r>
      <w:r w:rsidRPr="00151D12">
        <w:tab/>
        <w:t>Sentenza 10 febbraio 2009, causa C-110/05, Commissione c. Italia (rimorchi, p.78)</w:t>
      </w:r>
    </w:p>
    <w:p w14:paraId="70754905" w14:textId="77777777" w:rsidR="00EF4287" w:rsidRPr="00151D12" w:rsidRDefault="00EF4287" w:rsidP="00EF4287">
      <w:pPr>
        <w:pStyle w:val="Testo2"/>
        <w:spacing w:line="240" w:lineRule="auto"/>
        <w:ind w:firstLine="0"/>
        <w:rPr>
          <w:u w:val="single"/>
        </w:rPr>
      </w:pPr>
      <w:r w:rsidRPr="00151D12">
        <w:rPr>
          <w:u w:val="single"/>
        </w:rPr>
        <w:t>F.</w:t>
      </w:r>
      <w:r w:rsidRPr="00151D12">
        <w:rPr>
          <w:u w:val="single"/>
        </w:rPr>
        <w:tab/>
        <w:t xml:space="preserve">Margini di autonomia normativa degli stati membri nella tutela di interessi generali </w:t>
      </w:r>
    </w:p>
    <w:p w14:paraId="5E7F3821" w14:textId="77777777" w:rsidR="00EF4287" w:rsidRPr="00151D12" w:rsidRDefault="00EF4287" w:rsidP="00EF4287">
      <w:pPr>
        <w:pStyle w:val="Testo2"/>
        <w:spacing w:line="240" w:lineRule="auto"/>
        <w:ind w:firstLine="0"/>
      </w:pPr>
      <w:r w:rsidRPr="00151D12">
        <w:t>3.3. Sentenza CG 10 novembre 1982, causa 261/81, Rau (p. 104)</w:t>
      </w:r>
    </w:p>
    <w:p w14:paraId="519938CE" w14:textId="77777777" w:rsidR="00EF4287" w:rsidRPr="00151D12" w:rsidRDefault="00EF4287" w:rsidP="00EF4287">
      <w:pPr>
        <w:pStyle w:val="Testo2"/>
        <w:spacing w:line="240" w:lineRule="auto"/>
        <w:ind w:firstLine="0"/>
        <w:rPr>
          <w:i/>
        </w:rPr>
      </w:pPr>
      <w:r w:rsidRPr="00151D12">
        <w:rPr>
          <w:i/>
        </w:rPr>
        <w:t xml:space="preserve">Capitolo 2: La cittadinanza europea </w:t>
      </w:r>
    </w:p>
    <w:p w14:paraId="7E252979" w14:textId="77777777" w:rsidR="00EF4287" w:rsidRPr="00151D12" w:rsidRDefault="00EF4287" w:rsidP="00EF4287">
      <w:pPr>
        <w:pStyle w:val="Testo2"/>
        <w:spacing w:line="240" w:lineRule="auto"/>
        <w:ind w:firstLine="0"/>
        <w:rPr>
          <w:u w:val="single"/>
        </w:rPr>
      </w:pPr>
      <w:r w:rsidRPr="00151D12">
        <w:rPr>
          <w:u w:val="single"/>
        </w:rPr>
        <w:t>A.</w:t>
      </w:r>
      <w:r w:rsidRPr="00151D12">
        <w:rPr>
          <w:u w:val="single"/>
        </w:rPr>
        <w:tab/>
        <w:t xml:space="preserve">Cittadinanza europea e cittadinanza nazionale </w:t>
      </w:r>
    </w:p>
    <w:p w14:paraId="72B503B6" w14:textId="77777777" w:rsidR="00EF4287" w:rsidRPr="00151D12" w:rsidRDefault="00EF4287" w:rsidP="00EF4287">
      <w:pPr>
        <w:pStyle w:val="Testo2"/>
        <w:spacing w:line="240" w:lineRule="auto"/>
        <w:ind w:firstLine="0"/>
      </w:pPr>
      <w:r w:rsidRPr="00151D12">
        <w:t>3.1</w:t>
      </w:r>
      <w:r w:rsidRPr="00151D12">
        <w:tab/>
        <w:t>Sentenza 7 luglio 1992, causa C-369/90, Micheletti (p. 125)</w:t>
      </w:r>
    </w:p>
    <w:p w14:paraId="255C4798" w14:textId="77777777" w:rsidR="00EF4287" w:rsidRPr="00151D12" w:rsidRDefault="00EF4287" w:rsidP="00EF4287">
      <w:pPr>
        <w:pStyle w:val="Testo2"/>
        <w:spacing w:line="240" w:lineRule="auto"/>
        <w:ind w:firstLine="0"/>
      </w:pPr>
      <w:r w:rsidRPr="00151D12">
        <w:t>3.3</w:t>
      </w:r>
      <w:r w:rsidRPr="00151D12">
        <w:tab/>
        <w:t>Sentenza 2 ottobre 2008, causa C-148/02, Garcia Avello (p. 126)</w:t>
      </w:r>
    </w:p>
    <w:p w14:paraId="60334A0A" w14:textId="77777777" w:rsidR="00EF4287" w:rsidRPr="00151D12" w:rsidRDefault="00EF4287" w:rsidP="00EF4287">
      <w:pPr>
        <w:pStyle w:val="Testo2"/>
        <w:spacing w:line="240" w:lineRule="auto"/>
        <w:ind w:firstLine="0"/>
      </w:pPr>
      <w:r w:rsidRPr="00151D12">
        <w:t>3.4</w:t>
      </w:r>
      <w:r w:rsidRPr="00151D12">
        <w:tab/>
        <w:t>Sentenza 2 marzo 2010, causa C-135/08, Rottmann (p. 127)</w:t>
      </w:r>
    </w:p>
    <w:p w14:paraId="2AAC47D6" w14:textId="77777777" w:rsidR="00EF4287" w:rsidRPr="00151D12" w:rsidRDefault="00EF4287" w:rsidP="00EF4287">
      <w:pPr>
        <w:pStyle w:val="Testo2"/>
        <w:spacing w:line="240" w:lineRule="auto"/>
        <w:ind w:firstLine="0"/>
        <w:rPr>
          <w:u w:val="single"/>
        </w:rPr>
      </w:pPr>
      <w:r w:rsidRPr="00151D12">
        <w:rPr>
          <w:u w:val="single"/>
        </w:rPr>
        <w:t>B.</w:t>
      </w:r>
      <w:r w:rsidRPr="00151D12">
        <w:rPr>
          <w:u w:val="single"/>
        </w:rPr>
        <w:tab/>
        <w:t xml:space="preserve">I diritti civili discendenti dalla cittadinanza europea </w:t>
      </w:r>
    </w:p>
    <w:p w14:paraId="2E4CAD4B" w14:textId="77777777" w:rsidR="00EF4287" w:rsidRPr="00151D12" w:rsidRDefault="00EF4287" w:rsidP="00EF4287">
      <w:pPr>
        <w:pStyle w:val="Testo2"/>
        <w:spacing w:line="240" w:lineRule="auto"/>
        <w:ind w:firstLine="0"/>
      </w:pPr>
      <w:r w:rsidRPr="00151D12">
        <w:t>3.3</w:t>
      </w:r>
      <w:r w:rsidRPr="00151D12">
        <w:tab/>
        <w:t>Sentenza 19 ottobre 2004, causa C-200/02, Chen (p. 149)</w:t>
      </w:r>
    </w:p>
    <w:p w14:paraId="4EA0D3D6" w14:textId="77777777" w:rsidR="00EF4287" w:rsidRPr="00151D12" w:rsidRDefault="00EF4287" w:rsidP="00EF4287">
      <w:pPr>
        <w:pStyle w:val="Testo2"/>
        <w:spacing w:line="240" w:lineRule="auto"/>
        <w:ind w:firstLine="0"/>
      </w:pPr>
      <w:r w:rsidRPr="00151D12">
        <w:t xml:space="preserve">3.4. </w:t>
      </w:r>
      <w:r w:rsidRPr="00151D12">
        <w:tab/>
        <w:t>Sentenza CG 8 marzo 2011, causa C-34/09, Ruiz Zambrano (p. 150)</w:t>
      </w:r>
    </w:p>
    <w:p w14:paraId="0AEB9E6C" w14:textId="77777777" w:rsidR="00EF4287" w:rsidRPr="00151D12" w:rsidRDefault="00EF4287" w:rsidP="00EF4287">
      <w:pPr>
        <w:pStyle w:val="Testo2"/>
        <w:spacing w:line="240" w:lineRule="auto"/>
        <w:ind w:firstLine="0"/>
      </w:pPr>
      <w:r w:rsidRPr="00151D12">
        <w:t>3.6</w:t>
      </w:r>
      <w:r w:rsidRPr="00151D12">
        <w:tab/>
        <w:t>Sentenza 5 giugno 2018, causa C-673/16, Coman (p. 153)</w:t>
      </w:r>
    </w:p>
    <w:p w14:paraId="0C295B5F" w14:textId="77777777" w:rsidR="00EF4287" w:rsidRPr="00151D12" w:rsidRDefault="00EF4287" w:rsidP="00EF4287">
      <w:pPr>
        <w:pStyle w:val="Testo2"/>
        <w:spacing w:line="240" w:lineRule="auto"/>
        <w:ind w:firstLine="0"/>
        <w:rPr>
          <w:i/>
        </w:rPr>
      </w:pPr>
      <w:r w:rsidRPr="00151D12">
        <w:rPr>
          <w:i/>
        </w:rPr>
        <w:t xml:space="preserve">Capitolo 3: La libera circolazione dei lavoratori </w:t>
      </w:r>
    </w:p>
    <w:p w14:paraId="29A2FF97" w14:textId="77777777" w:rsidR="00EF4287" w:rsidRPr="00151D12" w:rsidRDefault="00EF4287" w:rsidP="00EF4287">
      <w:pPr>
        <w:pStyle w:val="Testo2"/>
        <w:spacing w:line="240" w:lineRule="auto"/>
        <w:ind w:firstLine="0"/>
        <w:rPr>
          <w:u w:val="single"/>
        </w:rPr>
      </w:pPr>
      <w:r w:rsidRPr="00151D12">
        <w:rPr>
          <w:u w:val="single"/>
        </w:rPr>
        <w:t>A.</w:t>
      </w:r>
      <w:r w:rsidRPr="00151D12">
        <w:rPr>
          <w:u w:val="single"/>
        </w:rPr>
        <w:tab/>
        <w:t>Caratteri generali e ambito di applicazione delle norme in materia di libera circolazione dei lavoratori</w:t>
      </w:r>
    </w:p>
    <w:p w14:paraId="6D34008C" w14:textId="77777777" w:rsidR="00EF4287" w:rsidRPr="00151D12" w:rsidRDefault="00EF4287" w:rsidP="00EF4287">
      <w:pPr>
        <w:pStyle w:val="Testo2"/>
        <w:spacing w:line="240" w:lineRule="auto"/>
        <w:ind w:firstLine="0"/>
      </w:pPr>
      <w:r w:rsidRPr="00151D12">
        <w:t>3.2</w:t>
      </w:r>
      <w:r w:rsidRPr="00151D12">
        <w:tab/>
        <w:t>Sentenza 3 luglio 1986, causa 66/85, Lawrie-Blum (p. 183)</w:t>
      </w:r>
    </w:p>
    <w:p w14:paraId="7F05D9A4" w14:textId="77777777" w:rsidR="00EF4287" w:rsidRPr="00151D12" w:rsidRDefault="00EF4287" w:rsidP="00EF4287">
      <w:pPr>
        <w:pStyle w:val="Testo2"/>
        <w:spacing w:line="240" w:lineRule="auto"/>
        <w:ind w:firstLine="0"/>
      </w:pPr>
      <w:r w:rsidRPr="00151D12">
        <w:t>3.4</w:t>
      </w:r>
      <w:r w:rsidRPr="00151D12">
        <w:tab/>
        <w:t>Sentenza 26 febbraio 1991, causa C-292/89, Antonissen (p. 187)</w:t>
      </w:r>
    </w:p>
    <w:p w14:paraId="1E7B603E" w14:textId="77777777" w:rsidR="00EF4287" w:rsidRPr="00151D12" w:rsidRDefault="00EF4287" w:rsidP="00EF4287">
      <w:pPr>
        <w:pStyle w:val="Testo2"/>
        <w:spacing w:line="240" w:lineRule="auto"/>
        <w:ind w:firstLine="0"/>
        <w:rPr>
          <w:u w:val="single"/>
        </w:rPr>
      </w:pPr>
      <w:r w:rsidRPr="00151D12">
        <w:rPr>
          <w:u w:val="single"/>
        </w:rPr>
        <w:t>B.</w:t>
      </w:r>
      <w:r w:rsidRPr="00151D12">
        <w:rPr>
          <w:u w:val="single"/>
        </w:rPr>
        <w:tab/>
        <w:t>Le condizioni di accesso e di esercizio dell’impiego</w:t>
      </w:r>
    </w:p>
    <w:p w14:paraId="7E27E125" w14:textId="77777777" w:rsidR="00EF4287" w:rsidRPr="00151D12" w:rsidRDefault="00EF4287" w:rsidP="00EF4287">
      <w:pPr>
        <w:pStyle w:val="Testo2"/>
        <w:spacing w:line="240" w:lineRule="auto"/>
        <w:ind w:firstLine="0"/>
      </w:pPr>
      <w:r w:rsidRPr="00151D12">
        <w:t xml:space="preserve">3.4. </w:t>
      </w:r>
      <w:r w:rsidRPr="00151D12">
        <w:tab/>
        <w:t>Sentenza CG 6 giugno 2000, causa C-281/98, Angonese (p. 206)</w:t>
      </w:r>
    </w:p>
    <w:p w14:paraId="5AF5323D" w14:textId="77777777" w:rsidR="00EF4287" w:rsidRPr="00151D12" w:rsidRDefault="00EF4287" w:rsidP="00EF4287">
      <w:pPr>
        <w:pStyle w:val="Testo2"/>
        <w:spacing w:line="240" w:lineRule="auto"/>
        <w:ind w:firstLine="0"/>
        <w:rPr>
          <w:i/>
        </w:rPr>
      </w:pPr>
      <w:r w:rsidRPr="00151D12">
        <w:rPr>
          <w:i/>
        </w:rPr>
        <w:t xml:space="preserve">Capitolo 4: La libertà di stabilimento </w:t>
      </w:r>
    </w:p>
    <w:p w14:paraId="0B953A49" w14:textId="77777777" w:rsidR="00EF4287" w:rsidRPr="00151D12" w:rsidRDefault="00EF4287" w:rsidP="00EF4287">
      <w:pPr>
        <w:pStyle w:val="Testo2"/>
        <w:spacing w:line="240" w:lineRule="auto"/>
        <w:ind w:firstLine="0"/>
        <w:rPr>
          <w:u w:val="single"/>
        </w:rPr>
      </w:pPr>
      <w:r w:rsidRPr="00151D12">
        <w:rPr>
          <w:u w:val="single"/>
        </w:rPr>
        <w:t>A.</w:t>
      </w:r>
      <w:r w:rsidRPr="00151D12">
        <w:rPr>
          <w:u w:val="single"/>
        </w:rPr>
        <w:tab/>
        <w:t xml:space="preserve">L’ambito applicativo della libertà di stabilimento </w:t>
      </w:r>
    </w:p>
    <w:p w14:paraId="76E9BA1D" w14:textId="77777777" w:rsidR="00EF4287" w:rsidRPr="00151D12" w:rsidRDefault="00EF4287" w:rsidP="00EF4287">
      <w:pPr>
        <w:pStyle w:val="Testo2"/>
        <w:spacing w:line="240" w:lineRule="auto"/>
        <w:ind w:firstLine="0"/>
      </w:pPr>
      <w:r w:rsidRPr="00151D12">
        <w:t>3.1</w:t>
      </w:r>
      <w:r w:rsidRPr="00151D12">
        <w:tab/>
        <w:t>Sentenza 30 novembre 1995, causa C-55/94, Gebhard (p. 224)</w:t>
      </w:r>
    </w:p>
    <w:p w14:paraId="7F95E231" w14:textId="77777777" w:rsidR="00EF4287" w:rsidRPr="00151D12" w:rsidRDefault="00EF4287" w:rsidP="00EF4287">
      <w:pPr>
        <w:pStyle w:val="Testo2"/>
        <w:spacing w:line="240" w:lineRule="auto"/>
        <w:ind w:firstLine="0"/>
      </w:pPr>
      <w:r w:rsidRPr="00151D12">
        <w:t>3.3</w:t>
      </w:r>
      <w:r w:rsidRPr="00151D12">
        <w:tab/>
        <w:t>Sentenza 27 settembre 1988, causa 81/87, Daily Mail (p. 226)</w:t>
      </w:r>
    </w:p>
    <w:p w14:paraId="34137527" w14:textId="77777777" w:rsidR="00EF4287" w:rsidRPr="00151D12" w:rsidRDefault="00EF4287" w:rsidP="00EF4287">
      <w:pPr>
        <w:pStyle w:val="Testo2"/>
        <w:spacing w:line="240" w:lineRule="auto"/>
        <w:ind w:firstLine="0"/>
        <w:rPr>
          <w:u w:val="single"/>
        </w:rPr>
      </w:pPr>
      <w:r w:rsidRPr="00151D12">
        <w:rPr>
          <w:u w:val="single"/>
        </w:rPr>
        <w:t>B.</w:t>
      </w:r>
      <w:r w:rsidRPr="00151D12">
        <w:rPr>
          <w:u w:val="single"/>
        </w:rPr>
        <w:tab/>
        <w:t xml:space="preserve">L’integrazione negativa in materia di stabilimento </w:t>
      </w:r>
    </w:p>
    <w:p w14:paraId="69821CAD" w14:textId="77777777" w:rsidR="00EF4287" w:rsidRPr="00151D12" w:rsidRDefault="00EF4287" w:rsidP="00EF4287">
      <w:pPr>
        <w:pStyle w:val="Testo2"/>
        <w:spacing w:line="240" w:lineRule="auto"/>
        <w:ind w:firstLine="0"/>
      </w:pPr>
      <w:r w:rsidRPr="00151D12">
        <w:t xml:space="preserve">2.1. </w:t>
      </w:r>
      <w:r w:rsidRPr="00151D12">
        <w:tab/>
        <w:t>Sentenza CG 16 dicembre 2008, causa C-210/06, Cartesio (p. 230)</w:t>
      </w:r>
    </w:p>
    <w:p w14:paraId="3F930BF0" w14:textId="77777777" w:rsidR="00EF4287" w:rsidRPr="00151D12" w:rsidRDefault="00EF4287" w:rsidP="00EF4287">
      <w:pPr>
        <w:pStyle w:val="Testo2"/>
        <w:spacing w:line="240" w:lineRule="auto"/>
        <w:ind w:firstLine="0"/>
      </w:pPr>
      <w:r w:rsidRPr="00151D12">
        <w:t>2.4</w:t>
      </w:r>
      <w:r w:rsidRPr="00151D12">
        <w:tab/>
        <w:t>Sentenza 25 luglio 1991, causa C-221/89, Factortame (p. 233)</w:t>
      </w:r>
    </w:p>
    <w:p w14:paraId="073DD008" w14:textId="77777777" w:rsidR="00EF4287" w:rsidRPr="00151D12" w:rsidRDefault="00EF4287" w:rsidP="00EF4287">
      <w:pPr>
        <w:pStyle w:val="Testo2"/>
        <w:spacing w:line="240" w:lineRule="auto"/>
        <w:ind w:firstLine="0"/>
        <w:rPr>
          <w:u w:val="single"/>
        </w:rPr>
      </w:pPr>
      <w:r w:rsidRPr="00151D12">
        <w:rPr>
          <w:u w:val="single"/>
        </w:rPr>
        <w:t>C.</w:t>
      </w:r>
      <w:r w:rsidRPr="00151D12">
        <w:rPr>
          <w:u w:val="single"/>
        </w:rPr>
        <w:tab/>
        <w:t>Le deroghe alla libertà di stabilimento</w:t>
      </w:r>
    </w:p>
    <w:p w14:paraId="69626E36" w14:textId="77777777" w:rsidR="00EF4287" w:rsidRPr="00151D12" w:rsidRDefault="00EF4287" w:rsidP="00EF4287">
      <w:pPr>
        <w:pStyle w:val="Testo2"/>
        <w:spacing w:line="240" w:lineRule="auto"/>
        <w:ind w:firstLine="0"/>
      </w:pPr>
      <w:r w:rsidRPr="00151D12">
        <w:t xml:space="preserve">3.5. </w:t>
      </w:r>
      <w:r w:rsidRPr="00151D12">
        <w:tab/>
        <w:t>Sentenza CG 6 novembre 2003, causa C-243/01, Gambelli (p. 247)</w:t>
      </w:r>
    </w:p>
    <w:p w14:paraId="002B0D60" w14:textId="77777777" w:rsidR="00EF4287" w:rsidRPr="00151D12" w:rsidRDefault="00EF4287" w:rsidP="00EF4287">
      <w:pPr>
        <w:pStyle w:val="Testo2"/>
        <w:spacing w:line="240" w:lineRule="auto"/>
        <w:ind w:firstLine="0"/>
        <w:rPr>
          <w:u w:val="single"/>
        </w:rPr>
      </w:pPr>
      <w:r w:rsidRPr="00151D12">
        <w:rPr>
          <w:u w:val="single"/>
        </w:rPr>
        <w:t>D.</w:t>
      </w:r>
      <w:r w:rsidRPr="00151D12">
        <w:rPr>
          <w:u w:val="single"/>
        </w:rPr>
        <w:tab/>
        <w:t>L’integrazione positiva in materia di stabilimento</w:t>
      </w:r>
    </w:p>
    <w:p w14:paraId="0EACC3BD" w14:textId="77777777" w:rsidR="00EF4287" w:rsidRPr="00151D12" w:rsidRDefault="00EF4287" w:rsidP="00EF4287">
      <w:pPr>
        <w:pStyle w:val="Testo2"/>
        <w:spacing w:line="240" w:lineRule="auto"/>
        <w:ind w:firstLine="0"/>
      </w:pPr>
      <w:r w:rsidRPr="00151D12">
        <w:t xml:space="preserve">4.4. </w:t>
      </w:r>
      <w:r w:rsidRPr="00151D12">
        <w:tab/>
        <w:t>Sentenza CG 17 luglio 2014, cause riunite C-58/13 e C-59/13, Torresi (p. 269)</w:t>
      </w:r>
    </w:p>
    <w:p w14:paraId="14DDF56B" w14:textId="77777777" w:rsidR="00EF4287" w:rsidRPr="00151D12" w:rsidRDefault="00EF4287" w:rsidP="00EF4287">
      <w:pPr>
        <w:pStyle w:val="Testo2"/>
        <w:spacing w:line="240" w:lineRule="auto"/>
        <w:ind w:firstLine="0"/>
        <w:rPr>
          <w:i/>
        </w:rPr>
      </w:pPr>
      <w:r w:rsidRPr="00151D12">
        <w:rPr>
          <w:i/>
        </w:rPr>
        <w:t>Capitolo 5: La libera prestazione dei servizi</w:t>
      </w:r>
    </w:p>
    <w:p w14:paraId="221CBDDB" w14:textId="77777777" w:rsidR="00EF4287" w:rsidRPr="00151D12" w:rsidRDefault="00EF4287" w:rsidP="00EF4287">
      <w:pPr>
        <w:pStyle w:val="Testo2"/>
        <w:spacing w:line="240" w:lineRule="auto"/>
        <w:ind w:firstLine="0"/>
        <w:rPr>
          <w:u w:val="single"/>
        </w:rPr>
      </w:pPr>
      <w:r w:rsidRPr="00151D12">
        <w:rPr>
          <w:u w:val="single"/>
        </w:rPr>
        <w:t>A.</w:t>
      </w:r>
      <w:r w:rsidRPr="00151D12">
        <w:rPr>
          <w:u w:val="single"/>
        </w:rPr>
        <w:tab/>
        <w:t xml:space="preserve">L’ambito applicativo della libera prestazione dei servizi </w:t>
      </w:r>
    </w:p>
    <w:p w14:paraId="43AC3822" w14:textId="77777777" w:rsidR="00EF4287" w:rsidRPr="00151D12" w:rsidRDefault="00EF4287" w:rsidP="00EF4287">
      <w:pPr>
        <w:pStyle w:val="Testo2"/>
        <w:spacing w:line="240" w:lineRule="auto"/>
        <w:ind w:firstLine="0"/>
      </w:pPr>
      <w:r w:rsidRPr="00151D12">
        <w:t xml:space="preserve">3.2. </w:t>
      </w:r>
      <w:r w:rsidRPr="00151D12">
        <w:tab/>
        <w:t>Sentenza CG 26 aprile 1988, causa 352/85, Bond van Adverteerders (p. 279)</w:t>
      </w:r>
    </w:p>
    <w:p w14:paraId="40F23789" w14:textId="77777777" w:rsidR="00EF4287" w:rsidRPr="00151D12" w:rsidRDefault="00EF4287" w:rsidP="00EF4287">
      <w:pPr>
        <w:pStyle w:val="Testo2"/>
        <w:spacing w:line="240" w:lineRule="auto"/>
        <w:ind w:firstLine="0"/>
      </w:pPr>
      <w:r w:rsidRPr="00151D12">
        <w:t>3.3</w:t>
      </w:r>
      <w:r w:rsidRPr="00151D12">
        <w:tab/>
        <w:t>Sentenza 2 febbraio 1989, causa 186/87, Cowan (p. 280)</w:t>
      </w:r>
    </w:p>
    <w:p w14:paraId="27494BAD" w14:textId="77777777" w:rsidR="00EF4287" w:rsidRPr="00151D12" w:rsidRDefault="00EF4287" w:rsidP="00EF4287">
      <w:pPr>
        <w:pStyle w:val="Testo2"/>
        <w:spacing w:line="240" w:lineRule="auto"/>
        <w:ind w:firstLine="0"/>
        <w:rPr>
          <w:u w:val="single"/>
        </w:rPr>
      </w:pPr>
      <w:r w:rsidRPr="00151D12">
        <w:rPr>
          <w:u w:val="single"/>
        </w:rPr>
        <w:t xml:space="preserve">B. </w:t>
      </w:r>
      <w:r w:rsidRPr="00151D12">
        <w:rPr>
          <w:u w:val="single"/>
        </w:rPr>
        <w:tab/>
        <w:t>L’integrazione negativa in materia di servizi</w:t>
      </w:r>
    </w:p>
    <w:p w14:paraId="41E8FB92" w14:textId="77777777" w:rsidR="00EF4287" w:rsidRPr="00151D12" w:rsidRDefault="00EF4287" w:rsidP="00EF4287">
      <w:pPr>
        <w:pStyle w:val="Testo2"/>
        <w:spacing w:line="240" w:lineRule="auto"/>
        <w:ind w:firstLine="0"/>
      </w:pPr>
      <w:r w:rsidRPr="00151D12">
        <w:t xml:space="preserve">2.3. </w:t>
      </w:r>
      <w:r w:rsidRPr="00151D12">
        <w:tab/>
        <w:t>Sentenza CG 10 maggio 1995, causa C-384/93, Alpine Investments (p. 290)</w:t>
      </w:r>
    </w:p>
    <w:p w14:paraId="2207F412" w14:textId="77777777" w:rsidR="00EF4287" w:rsidRPr="00151D12" w:rsidRDefault="00EF4287" w:rsidP="00EF4287">
      <w:pPr>
        <w:pStyle w:val="Testo2"/>
        <w:spacing w:line="240" w:lineRule="auto"/>
        <w:ind w:firstLine="0"/>
        <w:rPr>
          <w:u w:val="single"/>
        </w:rPr>
      </w:pPr>
      <w:r w:rsidRPr="00151D12">
        <w:rPr>
          <w:u w:val="single"/>
        </w:rPr>
        <w:t xml:space="preserve">C. </w:t>
      </w:r>
      <w:r w:rsidRPr="00151D12">
        <w:rPr>
          <w:u w:val="single"/>
        </w:rPr>
        <w:tab/>
        <w:t>Le deroghe alla libera prestazione dei servizi</w:t>
      </w:r>
    </w:p>
    <w:p w14:paraId="262B1CD3" w14:textId="77777777" w:rsidR="00EF4287" w:rsidRPr="00151D12" w:rsidRDefault="00EF4287" w:rsidP="00EF4287">
      <w:pPr>
        <w:pStyle w:val="Testo2"/>
        <w:spacing w:line="240" w:lineRule="auto"/>
        <w:ind w:firstLine="0"/>
      </w:pPr>
      <w:r w:rsidRPr="00151D12">
        <w:t>2.1</w:t>
      </w:r>
      <w:r w:rsidRPr="00151D12">
        <w:tab/>
        <w:t>Sentenza 14 ottobre 2004, causa C- 36/02, Omega (p. 297)</w:t>
      </w:r>
    </w:p>
    <w:p w14:paraId="5EFD8CAA" w14:textId="77777777" w:rsidR="00EF4287" w:rsidRPr="00151D12" w:rsidRDefault="00EF4287" w:rsidP="00EF4287">
      <w:pPr>
        <w:pStyle w:val="Testo2"/>
        <w:spacing w:line="240" w:lineRule="auto"/>
        <w:ind w:firstLine="0"/>
      </w:pPr>
      <w:r w:rsidRPr="00151D12">
        <w:t xml:space="preserve">2.7. </w:t>
      </w:r>
      <w:r w:rsidRPr="00151D12">
        <w:tab/>
        <w:t>Sentenza CG 5 ottobre 1994, causa C-23/93, TV 10 (p. 307)</w:t>
      </w:r>
    </w:p>
    <w:p w14:paraId="400A3092" w14:textId="77777777" w:rsidR="00EF4287" w:rsidRPr="00151D12" w:rsidRDefault="00EF4287" w:rsidP="00EF4287">
      <w:pPr>
        <w:pStyle w:val="Testo2"/>
        <w:spacing w:line="240" w:lineRule="auto"/>
        <w:ind w:firstLine="0"/>
        <w:rPr>
          <w:i/>
        </w:rPr>
      </w:pPr>
      <w:r w:rsidRPr="00151D12">
        <w:rPr>
          <w:i/>
        </w:rPr>
        <w:t>Capitolo 6: La libera circolazione dei capitali e dei pagamenti</w:t>
      </w:r>
    </w:p>
    <w:p w14:paraId="61F63092" w14:textId="77777777" w:rsidR="00EF4287" w:rsidRPr="00151D12" w:rsidRDefault="00EF4287" w:rsidP="00EF4287">
      <w:pPr>
        <w:pStyle w:val="Testo2"/>
        <w:spacing w:line="240" w:lineRule="auto"/>
        <w:ind w:firstLine="0"/>
        <w:rPr>
          <w:u w:val="single"/>
        </w:rPr>
      </w:pPr>
      <w:r w:rsidRPr="00151D12">
        <w:rPr>
          <w:u w:val="single"/>
        </w:rPr>
        <w:lastRenderedPageBreak/>
        <w:t xml:space="preserve">A. </w:t>
      </w:r>
      <w:r w:rsidRPr="00151D12">
        <w:rPr>
          <w:u w:val="single"/>
        </w:rPr>
        <w:tab/>
        <w:t>L’ambito apòlicativo della libera circolazione dei capitali e dei pagamenti</w:t>
      </w:r>
    </w:p>
    <w:p w14:paraId="3CB24195" w14:textId="77777777" w:rsidR="00EF4287" w:rsidRPr="00151D12" w:rsidRDefault="00EF4287" w:rsidP="00EF4287">
      <w:pPr>
        <w:pStyle w:val="Testo2"/>
        <w:spacing w:line="240" w:lineRule="auto"/>
        <w:ind w:firstLine="0"/>
      </w:pPr>
      <w:r w:rsidRPr="00151D12">
        <w:t xml:space="preserve">4.1. </w:t>
      </w:r>
      <w:r w:rsidRPr="00151D12">
        <w:tab/>
        <w:t>Sentenza CG 31 gennaio 1984, cause riunite 286/82 e 26/83, Luisi Carbone (p. 325)</w:t>
      </w:r>
    </w:p>
    <w:p w14:paraId="1D8AC43A" w14:textId="77777777" w:rsidR="00EF4287" w:rsidRPr="00151D12" w:rsidRDefault="00EF4287" w:rsidP="00EF4287">
      <w:pPr>
        <w:pStyle w:val="Testo2"/>
        <w:spacing w:line="240" w:lineRule="auto"/>
        <w:ind w:firstLine="0"/>
        <w:rPr>
          <w:u w:val="single"/>
        </w:rPr>
      </w:pPr>
      <w:r w:rsidRPr="00151D12">
        <w:t xml:space="preserve">B. </w:t>
      </w:r>
      <w:r w:rsidRPr="00151D12">
        <w:tab/>
      </w:r>
      <w:r w:rsidRPr="00151D12">
        <w:rPr>
          <w:u w:val="single"/>
        </w:rPr>
        <w:t xml:space="preserve">L’integrazione negativa e positiva in materia di capitali e di pagamenti </w:t>
      </w:r>
    </w:p>
    <w:p w14:paraId="6F96A967" w14:textId="77777777" w:rsidR="00EF4287" w:rsidRPr="00151D12" w:rsidRDefault="00EF4287" w:rsidP="00EF4287">
      <w:pPr>
        <w:pStyle w:val="Testo2"/>
        <w:spacing w:line="240" w:lineRule="auto"/>
        <w:ind w:firstLine="0"/>
      </w:pPr>
      <w:r w:rsidRPr="00151D12">
        <w:t xml:space="preserve">2.1. </w:t>
      </w:r>
      <w:r w:rsidRPr="00151D12">
        <w:tab/>
        <w:t>Sentenza CG 4 giugno 2002, causa C-367/98, Commissione c. Portogallo (golden shares) (p. 330)</w:t>
      </w:r>
    </w:p>
    <w:p w14:paraId="01EDC770" w14:textId="77777777" w:rsidR="00EF4287" w:rsidRPr="00151D12" w:rsidRDefault="00EF4287" w:rsidP="00EF4287">
      <w:pPr>
        <w:pStyle w:val="Testo2"/>
      </w:pPr>
    </w:p>
    <w:p w14:paraId="1A08C046" w14:textId="77777777" w:rsidR="00EF4287" w:rsidRPr="00151D12" w:rsidRDefault="00EF4287" w:rsidP="00EF4287">
      <w:pPr>
        <w:pStyle w:val="Testo2"/>
      </w:pPr>
    </w:p>
    <w:p w14:paraId="5CC4F3D4" w14:textId="283BB60E" w:rsidR="00EF4287" w:rsidRPr="00151D12" w:rsidRDefault="00043CA8" w:rsidP="00596CDD">
      <w:pPr>
        <w:pStyle w:val="Testo2"/>
        <w:rPr>
          <w:noProof w:val="0"/>
          <w:lang w:val="en-GB"/>
        </w:rPr>
      </w:pPr>
      <w:r>
        <w:rPr>
          <w:lang w:val="en-US"/>
        </w:rPr>
        <w:t>S</w:t>
      </w:r>
      <w:r w:rsidR="009E229C" w:rsidRPr="00151D12">
        <w:rPr>
          <w:lang w:val="en-US"/>
        </w:rPr>
        <w:t xml:space="preserve">tudents who have the </w:t>
      </w:r>
      <w:r w:rsidR="00596CDD" w:rsidRPr="00151D12">
        <w:rPr>
          <w:noProof w:val="0"/>
          <w:lang w:val="en-GB"/>
        </w:rPr>
        <w:t>1</w:t>
      </w:r>
      <w:r w:rsidR="00596CDD" w:rsidRPr="00151D12">
        <w:rPr>
          <w:noProof w:val="0"/>
          <w:vertAlign w:val="superscript"/>
          <w:lang w:val="en-GB"/>
        </w:rPr>
        <w:t>st</w:t>
      </w:r>
      <w:r w:rsidR="00596CDD" w:rsidRPr="00151D12">
        <w:rPr>
          <w:noProof w:val="0"/>
          <w:lang w:val="en-GB"/>
        </w:rPr>
        <w:t xml:space="preserve"> edition</w:t>
      </w:r>
      <w:r w:rsidR="00596CDD" w:rsidRPr="00151D12">
        <w:rPr>
          <w:lang w:val="en-US"/>
        </w:rPr>
        <w:t xml:space="preserve">, </w:t>
      </w:r>
      <w:r>
        <w:rPr>
          <w:lang w:val="en-US"/>
        </w:rPr>
        <w:t xml:space="preserve">should </w:t>
      </w:r>
      <w:r w:rsidR="00596CDD" w:rsidRPr="00151D12">
        <w:rPr>
          <w:lang w:val="en-US"/>
        </w:rPr>
        <w:t xml:space="preserve">strictly follow the list below with no comparison with the </w:t>
      </w:r>
      <w:r w:rsidR="00596CDD" w:rsidRPr="00151D12">
        <w:rPr>
          <w:noProof w:val="0"/>
          <w:lang w:val="en-GB"/>
        </w:rPr>
        <w:t>2</w:t>
      </w:r>
      <w:r w:rsidR="00596CDD" w:rsidRPr="00151D12">
        <w:rPr>
          <w:noProof w:val="0"/>
          <w:vertAlign w:val="superscript"/>
          <w:lang w:val="en-GB"/>
        </w:rPr>
        <w:t>nd</w:t>
      </w:r>
      <w:r w:rsidR="00596CDD" w:rsidRPr="00151D12">
        <w:rPr>
          <w:lang w:val="en-US"/>
        </w:rPr>
        <w:t xml:space="preserve"> e</w:t>
      </w:r>
      <w:r>
        <w:rPr>
          <w:lang w:val="en-US"/>
        </w:rPr>
        <w:t xml:space="preserve">dition, avoiding </w:t>
      </w:r>
      <w:r w:rsidR="00596CDD" w:rsidRPr="00151D12">
        <w:rPr>
          <w:lang w:val="en-US"/>
        </w:rPr>
        <w:t>‘creative’ interpretations of what must be prepared or not:</w:t>
      </w:r>
    </w:p>
    <w:p w14:paraId="0ACAF7EA" w14:textId="5974DC02" w:rsidR="00EF4287" w:rsidRPr="00151D12" w:rsidRDefault="00596CDD" w:rsidP="00EF4287">
      <w:pPr>
        <w:pStyle w:val="Testo2"/>
        <w:rPr>
          <w:lang w:val="en-US"/>
        </w:rPr>
      </w:pPr>
      <w:r w:rsidRPr="00151D12">
        <w:rPr>
          <w:lang w:val="en-US"/>
        </w:rPr>
        <w:t xml:space="preserve">Judgements of the Court of Justice to be prepared </w:t>
      </w:r>
      <w:r w:rsidR="00AE5E41" w:rsidRPr="00151D12">
        <w:rPr>
          <w:lang w:val="en-US"/>
        </w:rPr>
        <w:t>using</w:t>
      </w:r>
      <w:r w:rsidRPr="00151D12">
        <w:rPr>
          <w:lang w:val="en-US"/>
        </w:rPr>
        <w:t xml:space="preserve"> the </w:t>
      </w:r>
      <w:r w:rsidRPr="00151D12">
        <w:rPr>
          <w:u w:val="single"/>
          <w:lang w:val="en-US"/>
        </w:rPr>
        <w:t>First Edition</w:t>
      </w:r>
      <w:r w:rsidRPr="00151D12">
        <w:rPr>
          <w:lang w:val="en-US"/>
        </w:rPr>
        <w:t xml:space="preserve"> of the book: </w:t>
      </w:r>
      <w:r w:rsidR="00AE5E41" w:rsidRPr="00151D12">
        <w:rPr>
          <w:lang w:val="en-US"/>
        </w:rPr>
        <w:t>‘</w:t>
      </w:r>
      <w:r w:rsidR="00EF4287" w:rsidRPr="00151D12">
        <w:rPr>
          <w:lang w:val="en-US"/>
        </w:rPr>
        <w:t>Mercato unico e libertà di circolazione nell’Unione europea</w:t>
      </w:r>
      <w:r w:rsidR="00AE5E41" w:rsidRPr="00151D12">
        <w:rPr>
          <w:lang w:val="en-US"/>
        </w:rPr>
        <w:t>’</w:t>
      </w:r>
      <w:r w:rsidR="00EF4287" w:rsidRPr="00151D12">
        <w:rPr>
          <w:lang w:val="en-US"/>
        </w:rPr>
        <w:t>:</w:t>
      </w:r>
    </w:p>
    <w:p w14:paraId="27959511" w14:textId="77777777" w:rsidR="00EF4287" w:rsidRPr="00151D12" w:rsidRDefault="00EF4287" w:rsidP="00EF4287">
      <w:pPr>
        <w:pStyle w:val="Testo2"/>
        <w:rPr>
          <w:i/>
          <w:lang w:val="en-US"/>
        </w:rPr>
      </w:pPr>
    </w:p>
    <w:p w14:paraId="30846479" w14:textId="77777777" w:rsidR="00EF4287" w:rsidRPr="00151D12" w:rsidRDefault="00EF4287" w:rsidP="00EF4287">
      <w:pPr>
        <w:pStyle w:val="Testo2"/>
        <w:ind w:firstLine="0"/>
        <w:rPr>
          <w:i/>
        </w:rPr>
      </w:pPr>
      <w:r w:rsidRPr="00151D12">
        <w:rPr>
          <w:i/>
        </w:rPr>
        <w:t xml:space="preserve">Capitolo 1: La libera circolazione delle merci </w:t>
      </w:r>
    </w:p>
    <w:p w14:paraId="620F51BE" w14:textId="77777777" w:rsidR="00EF4287" w:rsidRPr="00151D12" w:rsidRDefault="00EF4287" w:rsidP="00EF4287">
      <w:pPr>
        <w:pStyle w:val="Testo2"/>
        <w:ind w:firstLine="0"/>
        <w:rPr>
          <w:u w:val="single"/>
        </w:rPr>
      </w:pPr>
      <w:r w:rsidRPr="00151D12">
        <w:rPr>
          <w:u w:val="single"/>
        </w:rPr>
        <w:t>A.</w:t>
      </w:r>
      <w:r w:rsidRPr="00151D12">
        <w:rPr>
          <w:u w:val="single"/>
        </w:rPr>
        <w:tab/>
        <w:t xml:space="preserve">Il mercato interno e l’unione doganale </w:t>
      </w:r>
    </w:p>
    <w:p w14:paraId="00BFD36C" w14:textId="77777777" w:rsidR="00EF4287" w:rsidRPr="00151D12" w:rsidRDefault="00EF4287" w:rsidP="00EF4287">
      <w:pPr>
        <w:pStyle w:val="Testo2"/>
        <w:ind w:firstLine="0"/>
      </w:pPr>
      <w:r w:rsidRPr="00151D12">
        <w:t>3.3.</w:t>
      </w:r>
      <w:r w:rsidRPr="00151D12">
        <w:tab/>
        <w:t>Sentenza 10 dicembre 1968, causa 7/68, Comm. c. Italia (“Italian Art”) (p. 14)</w:t>
      </w:r>
    </w:p>
    <w:p w14:paraId="5A1E9134" w14:textId="77777777" w:rsidR="00EF4287" w:rsidRPr="00151D12" w:rsidRDefault="00EF4287" w:rsidP="00EF4287">
      <w:pPr>
        <w:pStyle w:val="Testo2"/>
        <w:ind w:firstLine="0"/>
        <w:rPr>
          <w:u w:val="single"/>
        </w:rPr>
      </w:pPr>
      <w:r w:rsidRPr="00151D12">
        <w:rPr>
          <w:u w:val="single"/>
        </w:rPr>
        <w:t>B.</w:t>
      </w:r>
      <w:r w:rsidRPr="00151D12">
        <w:rPr>
          <w:u w:val="single"/>
        </w:rPr>
        <w:tab/>
        <w:t xml:space="preserve">Rilevanza ed effetti delle norme di diritto dell’ue in materia di libera circolazione delle merci </w:t>
      </w:r>
    </w:p>
    <w:p w14:paraId="61B54FDB" w14:textId="77777777" w:rsidR="00EF4287" w:rsidRPr="00151D12" w:rsidRDefault="00EF4287" w:rsidP="00EF4287">
      <w:pPr>
        <w:pStyle w:val="Testo2"/>
        <w:ind w:firstLine="0"/>
      </w:pPr>
      <w:r w:rsidRPr="00151D12">
        <w:t>2.1</w:t>
      </w:r>
      <w:r w:rsidRPr="00151D12">
        <w:tab/>
        <w:t>Sentenza 5 febbraio 1963, causa 26/62, Van Gend en Loos (p. 21)</w:t>
      </w:r>
    </w:p>
    <w:p w14:paraId="03C5734E" w14:textId="77777777" w:rsidR="00EF4287" w:rsidRPr="00151D12" w:rsidRDefault="00EF4287" w:rsidP="00EF4287">
      <w:pPr>
        <w:pStyle w:val="Testo2"/>
        <w:ind w:firstLine="0"/>
      </w:pPr>
      <w:r w:rsidRPr="00151D12">
        <w:t>2.5</w:t>
      </w:r>
      <w:r w:rsidRPr="00151D12">
        <w:tab/>
        <w:t>Sentenza 5 marzo 1996, cause riunite C-46/96 e C-48/93, Brasserie du Pêcheur e Factortame (p. 27)</w:t>
      </w:r>
    </w:p>
    <w:p w14:paraId="48E53CA5" w14:textId="77777777" w:rsidR="00EF4287" w:rsidRPr="00151D12" w:rsidRDefault="00EF4287" w:rsidP="00EF4287">
      <w:pPr>
        <w:pStyle w:val="Testo2"/>
        <w:ind w:firstLine="0"/>
        <w:rPr>
          <w:u w:val="single"/>
        </w:rPr>
      </w:pPr>
      <w:r w:rsidRPr="00151D12">
        <w:rPr>
          <w:u w:val="single"/>
        </w:rPr>
        <w:t>C.</w:t>
      </w:r>
      <w:r w:rsidRPr="00151D12">
        <w:rPr>
          <w:u w:val="single"/>
        </w:rPr>
        <w:tab/>
        <w:t>Il divieto di ostacoli di natura fiscale nel commercio tra stati membri</w:t>
      </w:r>
    </w:p>
    <w:p w14:paraId="1D546075" w14:textId="77777777" w:rsidR="00EF4287" w:rsidRPr="00151D12" w:rsidRDefault="00EF4287" w:rsidP="00EF4287">
      <w:pPr>
        <w:pStyle w:val="Testo2"/>
        <w:ind w:firstLine="0"/>
      </w:pPr>
      <w:r w:rsidRPr="00151D12">
        <w:t>2.1</w:t>
      </w:r>
      <w:r w:rsidRPr="00151D12">
        <w:tab/>
        <w:t>Sentenza 1 luglio 1969, causa 24/68, Comm. c. Italia (p. 39)</w:t>
      </w:r>
    </w:p>
    <w:p w14:paraId="49052C2A" w14:textId="77777777" w:rsidR="00EF4287" w:rsidRPr="00151D12" w:rsidRDefault="00EF4287" w:rsidP="00EF4287">
      <w:pPr>
        <w:pStyle w:val="Testo2"/>
        <w:ind w:firstLine="0"/>
      </w:pPr>
      <w:r w:rsidRPr="00151D12">
        <w:t>2.5</w:t>
      </w:r>
      <w:r w:rsidRPr="00151D12">
        <w:tab/>
        <w:t>Sentenza 26 febbraio 1975, causa 63-74, Cadsky (p. 45)</w:t>
      </w:r>
    </w:p>
    <w:p w14:paraId="667C21EB" w14:textId="77777777" w:rsidR="00EF4287" w:rsidRPr="00151D12" w:rsidRDefault="00EF4287" w:rsidP="00EF4287">
      <w:pPr>
        <w:pStyle w:val="Testo2"/>
        <w:ind w:firstLine="0"/>
      </w:pPr>
      <w:r w:rsidRPr="00151D12">
        <w:t>2.8</w:t>
      </w:r>
      <w:r w:rsidRPr="00151D12">
        <w:tab/>
        <w:t>Sentenza 4 maggio 1986, causa 106/84, Comm. c. Danimarca (p. 49)</w:t>
      </w:r>
    </w:p>
    <w:p w14:paraId="432E2C55" w14:textId="77777777" w:rsidR="00EF4287" w:rsidRPr="00151D12" w:rsidRDefault="00EF4287" w:rsidP="00EF4287">
      <w:pPr>
        <w:pStyle w:val="Testo2"/>
        <w:ind w:firstLine="0"/>
      </w:pPr>
      <w:r w:rsidRPr="00151D12">
        <w:t>2.9</w:t>
      </w:r>
      <w:r w:rsidRPr="00151D12">
        <w:tab/>
        <w:t>Sentenza 12 luglio 1983, causa 170/78, Comm. c. Regno Unito (p. 50)</w:t>
      </w:r>
    </w:p>
    <w:p w14:paraId="5D678B4C" w14:textId="77777777" w:rsidR="00EF4287" w:rsidRPr="00151D12" w:rsidRDefault="00EF4287" w:rsidP="00EF4287">
      <w:pPr>
        <w:pStyle w:val="Testo2"/>
        <w:ind w:firstLine="0"/>
        <w:rPr>
          <w:u w:val="single"/>
        </w:rPr>
      </w:pPr>
      <w:r w:rsidRPr="00151D12">
        <w:rPr>
          <w:u w:val="single"/>
        </w:rPr>
        <w:t>D.</w:t>
      </w:r>
      <w:r w:rsidRPr="00151D12">
        <w:rPr>
          <w:u w:val="single"/>
        </w:rPr>
        <w:tab/>
        <w:t xml:space="preserve">Il divieto di restrizioni quantitative e di misure di effetto equivalente: le misure distintamente applicabili </w:t>
      </w:r>
    </w:p>
    <w:p w14:paraId="6857DB51" w14:textId="77777777" w:rsidR="00EF4287" w:rsidRPr="00151D12" w:rsidRDefault="00EF4287" w:rsidP="00EF4287">
      <w:pPr>
        <w:pStyle w:val="Testo2"/>
        <w:ind w:firstLine="0"/>
      </w:pPr>
      <w:r w:rsidRPr="00151D12">
        <w:t>3.1</w:t>
      </w:r>
      <w:r w:rsidRPr="00151D12">
        <w:tab/>
        <w:t>Sentenza 11 luglio 1974, causa 8/74, Dassonville (p. 62)</w:t>
      </w:r>
    </w:p>
    <w:p w14:paraId="0D85A42C" w14:textId="77777777" w:rsidR="00EF4287" w:rsidRPr="00151D12" w:rsidRDefault="00EF4287" w:rsidP="00EF4287">
      <w:pPr>
        <w:pStyle w:val="Testo2"/>
        <w:ind w:firstLine="0"/>
      </w:pPr>
      <w:r w:rsidRPr="00151D12">
        <w:t>3.3</w:t>
      </w:r>
      <w:r w:rsidRPr="00151D12">
        <w:tab/>
        <w:t>Sentenza 17 giugno 1987, causa 154/85, Comm. c. Italia (p. 65)</w:t>
      </w:r>
    </w:p>
    <w:p w14:paraId="5AF7D51E" w14:textId="77777777" w:rsidR="00EF4287" w:rsidRPr="00151D12" w:rsidRDefault="00EF4287" w:rsidP="00EF4287">
      <w:pPr>
        <w:pStyle w:val="Testo2"/>
        <w:ind w:firstLine="0"/>
      </w:pPr>
      <w:r w:rsidRPr="00151D12">
        <w:t>3.4</w:t>
      </w:r>
      <w:r w:rsidRPr="00151D12">
        <w:tab/>
        <w:t>Sentenza 9 dicembre 1981, causa 193/80, Comm. c. Italia ("Aceto") (p. 66)</w:t>
      </w:r>
    </w:p>
    <w:p w14:paraId="70B7D562" w14:textId="77777777" w:rsidR="00EF4287" w:rsidRPr="00151D12" w:rsidRDefault="00EF4287" w:rsidP="00EF4287">
      <w:pPr>
        <w:pStyle w:val="Testo2"/>
        <w:ind w:firstLine="0"/>
        <w:rPr>
          <w:u w:val="single"/>
        </w:rPr>
      </w:pPr>
      <w:r w:rsidRPr="00151D12">
        <w:rPr>
          <w:u w:val="single"/>
        </w:rPr>
        <w:t>E.</w:t>
      </w:r>
      <w:r w:rsidRPr="00151D12">
        <w:rPr>
          <w:u w:val="single"/>
        </w:rPr>
        <w:tab/>
        <w:t xml:space="preserve">Segue: le misure indistintamente applicabili </w:t>
      </w:r>
    </w:p>
    <w:p w14:paraId="5782099C" w14:textId="77777777" w:rsidR="00EF4287" w:rsidRPr="00151D12" w:rsidRDefault="00EF4287" w:rsidP="00EF4287">
      <w:pPr>
        <w:pStyle w:val="Testo2"/>
        <w:ind w:firstLine="0"/>
      </w:pPr>
      <w:r w:rsidRPr="00151D12">
        <w:t>3.1</w:t>
      </w:r>
      <w:r w:rsidRPr="00151D12">
        <w:tab/>
        <w:t>Sentenza 20 febbraio 1979, causa 120/78, "Cassis de Dijon" (p.81)</w:t>
      </w:r>
    </w:p>
    <w:p w14:paraId="32B78D00" w14:textId="77777777" w:rsidR="00EF4287" w:rsidRPr="00151D12" w:rsidRDefault="00EF4287" w:rsidP="00EF4287">
      <w:pPr>
        <w:pStyle w:val="Testo2"/>
        <w:ind w:firstLine="0"/>
      </w:pPr>
      <w:r w:rsidRPr="00151D12">
        <w:t>3.2</w:t>
      </w:r>
      <w:r w:rsidRPr="00151D12">
        <w:tab/>
        <w:t>Sentenza 24 novembre 1993, cause riunite C-267/91 e C-268/91, Keck e Mithouard (p. 83)</w:t>
      </w:r>
    </w:p>
    <w:p w14:paraId="46A8FEFC" w14:textId="77777777" w:rsidR="00EF4287" w:rsidRPr="00151D12" w:rsidRDefault="00EF4287" w:rsidP="00EF4287">
      <w:pPr>
        <w:pStyle w:val="Testo2"/>
        <w:ind w:firstLine="0"/>
      </w:pPr>
      <w:r w:rsidRPr="00151D12">
        <w:t>3.3</w:t>
      </w:r>
      <w:r w:rsidRPr="00151D12">
        <w:tab/>
        <w:t>Sentenza 11 dicembre 2003, causa C-322/01, Deutscher Apothekerverband (p. 85)</w:t>
      </w:r>
    </w:p>
    <w:p w14:paraId="5C4AD60C" w14:textId="77777777" w:rsidR="00EF4287" w:rsidRPr="00151D12" w:rsidRDefault="00EF4287" w:rsidP="00EF4287">
      <w:pPr>
        <w:pStyle w:val="Testo2"/>
        <w:ind w:firstLine="0"/>
        <w:rPr>
          <w:u w:val="single"/>
        </w:rPr>
      </w:pPr>
      <w:r w:rsidRPr="00151D12">
        <w:rPr>
          <w:u w:val="single"/>
        </w:rPr>
        <w:t>F.</w:t>
      </w:r>
      <w:r w:rsidRPr="00151D12">
        <w:rPr>
          <w:u w:val="single"/>
        </w:rPr>
        <w:tab/>
        <w:t xml:space="preserve">Margini di autonomia normativa degli stati membri nella tutela di interessi generali </w:t>
      </w:r>
    </w:p>
    <w:p w14:paraId="3E0275A8" w14:textId="77777777" w:rsidR="00EF4287" w:rsidRPr="00151D12" w:rsidRDefault="00EF4287" w:rsidP="00EF4287">
      <w:pPr>
        <w:pStyle w:val="Testo2"/>
        <w:ind w:firstLine="0"/>
      </w:pPr>
      <w:r w:rsidRPr="00151D12">
        <w:t>3.1</w:t>
      </w:r>
      <w:r w:rsidRPr="00151D12">
        <w:tab/>
        <w:t>Sentenza 14 luglio 1988, causa 90/86, Zoni (p. 111)</w:t>
      </w:r>
    </w:p>
    <w:p w14:paraId="7F688C10" w14:textId="77777777" w:rsidR="00EF4287" w:rsidRPr="00151D12" w:rsidRDefault="00EF4287" w:rsidP="00EF4287">
      <w:pPr>
        <w:pStyle w:val="Testo2"/>
        <w:ind w:firstLine="0"/>
      </w:pPr>
      <w:r w:rsidRPr="00151D12">
        <w:t>3.5</w:t>
      </w:r>
      <w:r w:rsidRPr="00151D12">
        <w:tab/>
        <w:t>Sentenza 11 settembre 2014, cause riunite C-204/12 a C-208/12, Essent Belgium (p. 120)</w:t>
      </w:r>
    </w:p>
    <w:p w14:paraId="68D24070" w14:textId="77777777" w:rsidR="00EF4287" w:rsidRPr="00151D12" w:rsidRDefault="00EF4287" w:rsidP="00EF4287">
      <w:pPr>
        <w:pStyle w:val="Testo2"/>
        <w:ind w:firstLine="0"/>
      </w:pPr>
      <w:r w:rsidRPr="00151D12">
        <w:t>3.7</w:t>
      </w:r>
      <w:r w:rsidRPr="00151D12">
        <w:tab/>
        <w:t>Sentenza 20 marzo 2003, causa 3/00, Danimarca c. Comm. (p. 125)</w:t>
      </w:r>
    </w:p>
    <w:p w14:paraId="64FF07FD" w14:textId="77777777" w:rsidR="00EF4287" w:rsidRPr="00151D12" w:rsidRDefault="00EF4287" w:rsidP="00EF4287">
      <w:pPr>
        <w:pStyle w:val="Testo2"/>
        <w:ind w:firstLine="0"/>
        <w:rPr>
          <w:i/>
        </w:rPr>
      </w:pPr>
      <w:r w:rsidRPr="00151D12">
        <w:rPr>
          <w:i/>
        </w:rPr>
        <w:t xml:space="preserve">Capitolo 2: La cittadinanza europea </w:t>
      </w:r>
    </w:p>
    <w:p w14:paraId="26E2660E" w14:textId="77777777" w:rsidR="00EF4287" w:rsidRPr="00151D12" w:rsidRDefault="00EF4287" w:rsidP="00EF4287">
      <w:pPr>
        <w:pStyle w:val="Testo2"/>
        <w:ind w:firstLine="0"/>
        <w:rPr>
          <w:u w:val="single"/>
        </w:rPr>
      </w:pPr>
      <w:r w:rsidRPr="00151D12">
        <w:rPr>
          <w:u w:val="single"/>
        </w:rPr>
        <w:t>A.</w:t>
      </w:r>
      <w:r w:rsidRPr="00151D12">
        <w:rPr>
          <w:u w:val="single"/>
        </w:rPr>
        <w:tab/>
        <w:t xml:space="preserve">Cittadinanza europea e cittadinanza nazionale </w:t>
      </w:r>
    </w:p>
    <w:p w14:paraId="5671E533" w14:textId="77777777" w:rsidR="00EF4287" w:rsidRPr="00151D12" w:rsidRDefault="00EF4287" w:rsidP="00EF4287">
      <w:pPr>
        <w:pStyle w:val="Testo2"/>
        <w:ind w:firstLine="0"/>
      </w:pPr>
      <w:r w:rsidRPr="00151D12">
        <w:t>3.1</w:t>
      </w:r>
      <w:r w:rsidRPr="00151D12">
        <w:tab/>
        <w:t>Sentenza 7 luglio 1992, causa C-369/90, Micheletti (p. 139)</w:t>
      </w:r>
    </w:p>
    <w:p w14:paraId="6A72C59E" w14:textId="77777777" w:rsidR="00EF4287" w:rsidRPr="00151D12" w:rsidRDefault="00EF4287" w:rsidP="00EF4287">
      <w:pPr>
        <w:pStyle w:val="Testo2"/>
        <w:ind w:firstLine="0"/>
      </w:pPr>
      <w:r w:rsidRPr="00151D12">
        <w:t>3.3</w:t>
      </w:r>
      <w:r w:rsidRPr="00151D12">
        <w:tab/>
        <w:t>Sentenza 2 ottobre 2008, causa C-148/02, Garcia Avello (p. 142)</w:t>
      </w:r>
    </w:p>
    <w:p w14:paraId="50143469" w14:textId="77777777" w:rsidR="00EF4287" w:rsidRPr="00151D12" w:rsidRDefault="00EF4287" w:rsidP="00EF4287">
      <w:pPr>
        <w:pStyle w:val="Testo2"/>
        <w:ind w:firstLine="0"/>
      </w:pPr>
      <w:r w:rsidRPr="00151D12">
        <w:t>3.4</w:t>
      </w:r>
      <w:r w:rsidRPr="00151D12">
        <w:tab/>
        <w:t>Sentenza 2 marzo 2010, causa C-135/08, Rottmann (p. 144)</w:t>
      </w:r>
    </w:p>
    <w:p w14:paraId="322B7D35" w14:textId="77777777" w:rsidR="00EF4287" w:rsidRPr="00151D12" w:rsidRDefault="00EF4287" w:rsidP="00EF4287">
      <w:pPr>
        <w:pStyle w:val="Testo2"/>
        <w:ind w:firstLine="0"/>
        <w:rPr>
          <w:u w:val="single"/>
        </w:rPr>
      </w:pPr>
      <w:r w:rsidRPr="00151D12">
        <w:rPr>
          <w:u w:val="single"/>
        </w:rPr>
        <w:lastRenderedPageBreak/>
        <w:t>B.</w:t>
      </w:r>
      <w:r w:rsidRPr="00151D12">
        <w:rPr>
          <w:u w:val="single"/>
        </w:rPr>
        <w:tab/>
        <w:t xml:space="preserve">I diritti civili discendenti dalla cittadinanza europea </w:t>
      </w:r>
    </w:p>
    <w:p w14:paraId="496F24A8" w14:textId="77777777" w:rsidR="00EF4287" w:rsidRPr="00151D12" w:rsidRDefault="00EF4287" w:rsidP="00EF4287">
      <w:pPr>
        <w:pStyle w:val="Testo2"/>
        <w:ind w:firstLine="0"/>
      </w:pPr>
      <w:r w:rsidRPr="00151D12">
        <w:t>3.3</w:t>
      </w:r>
      <w:r w:rsidRPr="00151D12">
        <w:tab/>
        <w:t>Sentenza 19 ottobre 2004, causa C-200/02, Chen (p. 163)</w:t>
      </w:r>
    </w:p>
    <w:p w14:paraId="47DE2908" w14:textId="77777777" w:rsidR="00EF4287" w:rsidRPr="00151D12" w:rsidRDefault="00EF4287" w:rsidP="00EF4287">
      <w:pPr>
        <w:pStyle w:val="Testo2"/>
        <w:ind w:firstLine="0"/>
      </w:pPr>
      <w:r w:rsidRPr="00151D12">
        <w:t>3.5</w:t>
      </w:r>
      <w:r w:rsidRPr="00151D12">
        <w:tab/>
        <w:t>Sentenza 8 marzo 2011, causa C-34/09, Ruiz Zambrano (p. 168)</w:t>
      </w:r>
    </w:p>
    <w:p w14:paraId="30D8F63E" w14:textId="77777777" w:rsidR="00EF4287" w:rsidRPr="00151D12" w:rsidRDefault="00EF4287" w:rsidP="00EF4287">
      <w:pPr>
        <w:pStyle w:val="Testo2"/>
        <w:ind w:firstLine="0"/>
        <w:rPr>
          <w:i/>
        </w:rPr>
      </w:pPr>
      <w:r w:rsidRPr="00151D12">
        <w:rPr>
          <w:i/>
        </w:rPr>
        <w:t xml:space="preserve">Capitolo 3: La libera circolazione dei lavoratori </w:t>
      </w:r>
    </w:p>
    <w:p w14:paraId="0E6B764D" w14:textId="77777777" w:rsidR="00EF4287" w:rsidRPr="00151D12" w:rsidRDefault="00EF4287" w:rsidP="00EF4287">
      <w:pPr>
        <w:pStyle w:val="Testo2"/>
        <w:ind w:firstLine="0"/>
        <w:rPr>
          <w:u w:val="single"/>
        </w:rPr>
      </w:pPr>
      <w:r w:rsidRPr="00151D12">
        <w:rPr>
          <w:u w:val="single"/>
        </w:rPr>
        <w:t>A.</w:t>
      </w:r>
      <w:r w:rsidRPr="00151D12">
        <w:rPr>
          <w:u w:val="single"/>
        </w:rPr>
        <w:tab/>
        <w:t>Caratteri generali e ambito di applicazione delle norme in materia di libera circolazione dei lavoratori</w:t>
      </w:r>
    </w:p>
    <w:p w14:paraId="4BA63047" w14:textId="77777777" w:rsidR="00EF4287" w:rsidRPr="00151D12" w:rsidRDefault="00EF4287" w:rsidP="00EF4287">
      <w:pPr>
        <w:pStyle w:val="Testo2"/>
        <w:ind w:firstLine="0"/>
      </w:pPr>
      <w:r w:rsidRPr="00151D12">
        <w:t>3.2</w:t>
      </w:r>
      <w:r w:rsidRPr="00151D12">
        <w:tab/>
        <w:t>Sentenza 3 luglio 1986, causa 66/85, Lawrie-Blum (p. 205)</w:t>
      </w:r>
    </w:p>
    <w:p w14:paraId="4196F87F" w14:textId="77777777" w:rsidR="00EF4287" w:rsidRPr="00151D12" w:rsidRDefault="00EF4287" w:rsidP="00EF4287">
      <w:pPr>
        <w:pStyle w:val="Testo2"/>
        <w:ind w:firstLine="0"/>
      </w:pPr>
      <w:r w:rsidRPr="00151D12">
        <w:t>3.4</w:t>
      </w:r>
      <w:r w:rsidRPr="00151D12">
        <w:tab/>
        <w:t>Sentenza 26 febbraio 1991, causa C-292/89, Antonissen (p. 209)</w:t>
      </w:r>
    </w:p>
    <w:p w14:paraId="57C7FEC5" w14:textId="77777777" w:rsidR="00EF4287" w:rsidRPr="00151D12" w:rsidRDefault="00EF4287" w:rsidP="00EF4287">
      <w:pPr>
        <w:pStyle w:val="Testo2"/>
        <w:ind w:firstLine="0"/>
        <w:rPr>
          <w:i/>
        </w:rPr>
      </w:pPr>
      <w:r w:rsidRPr="00151D12">
        <w:rPr>
          <w:i/>
        </w:rPr>
        <w:t xml:space="preserve">Capitolo 4: La libertà di stabilimento </w:t>
      </w:r>
    </w:p>
    <w:p w14:paraId="2E85B537" w14:textId="77777777" w:rsidR="00EF4287" w:rsidRPr="00151D12" w:rsidRDefault="00EF4287" w:rsidP="00EF4287">
      <w:pPr>
        <w:pStyle w:val="Testo2"/>
        <w:ind w:firstLine="0"/>
        <w:rPr>
          <w:u w:val="single"/>
        </w:rPr>
      </w:pPr>
      <w:r w:rsidRPr="00151D12">
        <w:rPr>
          <w:u w:val="single"/>
        </w:rPr>
        <w:t>A.</w:t>
      </w:r>
      <w:r w:rsidRPr="00151D12">
        <w:rPr>
          <w:u w:val="single"/>
        </w:rPr>
        <w:tab/>
        <w:t xml:space="preserve">L’ambito applicativo della libertà di stabilimento </w:t>
      </w:r>
    </w:p>
    <w:p w14:paraId="5A85DD2A" w14:textId="77777777" w:rsidR="00EF4287" w:rsidRPr="00151D12" w:rsidRDefault="00EF4287" w:rsidP="00EF4287">
      <w:pPr>
        <w:pStyle w:val="Testo2"/>
        <w:ind w:firstLine="0"/>
      </w:pPr>
      <w:r w:rsidRPr="00151D12">
        <w:t>3.1</w:t>
      </w:r>
      <w:r w:rsidRPr="00151D12">
        <w:tab/>
        <w:t>Sentenza 30 novembre 1995, causa C-55/94, Gebhard (p. 268)</w:t>
      </w:r>
    </w:p>
    <w:p w14:paraId="5C827A75" w14:textId="77777777" w:rsidR="00EF4287" w:rsidRPr="00151D12" w:rsidRDefault="00EF4287" w:rsidP="00EF4287">
      <w:pPr>
        <w:pStyle w:val="Testo2"/>
        <w:ind w:firstLine="0"/>
      </w:pPr>
      <w:r w:rsidRPr="00151D12">
        <w:t>3.3</w:t>
      </w:r>
      <w:r w:rsidRPr="00151D12">
        <w:tab/>
        <w:t>Sentenza 27 settembre 1988, causa 81/87, Daily Mail (p. 270)</w:t>
      </w:r>
    </w:p>
    <w:p w14:paraId="14A0D16B" w14:textId="77777777" w:rsidR="00EF4287" w:rsidRPr="00151D12" w:rsidRDefault="00EF4287" w:rsidP="00EF4287">
      <w:pPr>
        <w:pStyle w:val="Testo2"/>
        <w:ind w:firstLine="0"/>
        <w:rPr>
          <w:u w:val="single"/>
        </w:rPr>
      </w:pPr>
      <w:r w:rsidRPr="00151D12">
        <w:rPr>
          <w:u w:val="single"/>
        </w:rPr>
        <w:t>B.</w:t>
      </w:r>
      <w:r w:rsidRPr="00151D12">
        <w:rPr>
          <w:u w:val="single"/>
        </w:rPr>
        <w:tab/>
        <w:t xml:space="preserve">L’integrazione negativa in materia di stabilimento </w:t>
      </w:r>
    </w:p>
    <w:p w14:paraId="788EB376" w14:textId="77777777" w:rsidR="00EF4287" w:rsidRPr="00151D12" w:rsidRDefault="00EF4287" w:rsidP="00EF4287">
      <w:pPr>
        <w:pStyle w:val="Testo2"/>
        <w:ind w:firstLine="0"/>
      </w:pPr>
      <w:r w:rsidRPr="00151D12">
        <w:t>2.1</w:t>
      </w:r>
      <w:r w:rsidRPr="00151D12">
        <w:tab/>
        <w:t>Sentenza 27 settembre 1988, causa 81/87, Daily Mail (p. 276)</w:t>
      </w:r>
    </w:p>
    <w:p w14:paraId="15879B8C" w14:textId="77777777" w:rsidR="00EF4287" w:rsidRPr="00151D12" w:rsidRDefault="00EF4287" w:rsidP="00EF4287">
      <w:pPr>
        <w:pStyle w:val="Testo2"/>
        <w:ind w:firstLine="0"/>
      </w:pPr>
      <w:r w:rsidRPr="00151D12">
        <w:t>2.3</w:t>
      </w:r>
      <w:r w:rsidRPr="00151D12">
        <w:tab/>
        <w:t>Sentenza 12 luglio 1984, causa 107/83, Klopp (p. 278)</w:t>
      </w:r>
    </w:p>
    <w:p w14:paraId="0E671012" w14:textId="77777777" w:rsidR="00EF4287" w:rsidRPr="00151D12" w:rsidRDefault="00EF4287" w:rsidP="00EF4287">
      <w:pPr>
        <w:pStyle w:val="Testo2"/>
        <w:ind w:firstLine="0"/>
        <w:rPr>
          <w:i/>
        </w:rPr>
      </w:pPr>
      <w:r w:rsidRPr="00151D12">
        <w:rPr>
          <w:i/>
        </w:rPr>
        <w:t>Capitolo 5: La libera prestazione dei servizi</w:t>
      </w:r>
    </w:p>
    <w:p w14:paraId="22E03D96" w14:textId="77777777" w:rsidR="00EF4287" w:rsidRPr="00151D12" w:rsidRDefault="00EF4287" w:rsidP="00EF4287">
      <w:pPr>
        <w:pStyle w:val="Testo2"/>
        <w:ind w:firstLine="0"/>
        <w:rPr>
          <w:u w:val="single"/>
        </w:rPr>
      </w:pPr>
      <w:r w:rsidRPr="00151D12">
        <w:rPr>
          <w:u w:val="single"/>
        </w:rPr>
        <w:t>A.</w:t>
      </w:r>
      <w:r w:rsidRPr="00151D12">
        <w:rPr>
          <w:u w:val="single"/>
        </w:rPr>
        <w:tab/>
        <w:t xml:space="preserve">L’ambito applicativo della libera prestazione dei servizi </w:t>
      </w:r>
    </w:p>
    <w:p w14:paraId="0FA75C11" w14:textId="77777777" w:rsidR="00EF4287" w:rsidRPr="00151D12" w:rsidRDefault="00EF4287" w:rsidP="00EF4287">
      <w:pPr>
        <w:pStyle w:val="Testo2"/>
        <w:ind w:firstLine="0"/>
      </w:pPr>
      <w:r w:rsidRPr="00151D12">
        <w:t>3.5</w:t>
      </w:r>
      <w:r w:rsidRPr="00151D12">
        <w:tab/>
        <w:t>Sentenza 2 febbraio 1989, causa 186/87, Cowan (p. 341)</w:t>
      </w:r>
    </w:p>
    <w:p w14:paraId="2283B0F9" w14:textId="77777777" w:rsidR="00EF4287" w:rsidRPr="00151D12" w:rsidRDefault="00EF4287" w:rsidP="00EF4287">
      <w:pPr>
        <w:pStyle w:val="Testo2"/>
        <w:ind w:firstLine="0"/>
      </w:pPr>
      <w:r w:rsidRPr="00151D12">
        <w:t>3.6</w:t>
      </w:r>
      <w:r w:rsidRPr="00151D12">
        <w:tab/>
        <w:t>Sentenza 3 dicembre 1974, causa 33/74, van Binsbergen (p. 343)</w:t>
      </w:r>
    </w:p>
    <w:p w14:paraId="31290E29" w14:textId="77777777" w:rsidR="00EF4287" w:rsidRPr="00151D12" w:rsidRDefault="00EF4287" w:rsidP="00EF4287">
      <w:pPr>
        <w:pStyle w:val="Testo2"/>
        <w:ind w:firstLine="0"/>
      </w:pPr>
      <w:r w:rsidRPr="00151D12">
        <w:t>3.8</w:t>
      </w:r>
      <w:r w:rsidRPr="00151D12">
        <w:tab/>
        <w:t>Sentenza 26 febbraio 1991, causa C-198/89, Comm. c. Grecia (guide turistiche) (p. 344)</w:t>
      </w:r>
    </w:p>
    <w:p w14:paraId="3C306ADA" w14:textId="7EB346FE" w:rsidR="00C74F40" w:rsidRPr="00151D12" w:rsidRDefault="00A67B58" w:rsidP="00C74F40">
      <w:pPr>
        <w:spacing w:before="240" w:after="120" w:line="240" w:lineRule="exact"/>
        <w:rPr>
          <w:b/>
          <w:i/>
          <w:sz w:val="18"/>
          <w:lang w:val="en-GB"/>
        </w:rPr>
      </w:pPr>
      <w:r w:rsidRPr="00151D12">
        <w:rPr>
          <w:b/>
          <w:i/>
          <w:sz w:val="18"/>
          <w:lang w:val="en-GB"/>
        </w:rPr>
        <w:t>NOTES AND PREREQUISITES</w:t>
      </w:r>
    </w:p>
    <w:p w14:paraId="287FF5CD" w14:textId="7DD1A668" w:rsidR="00C74F40" w:rsidRPr="00151D12" w:rsidRDefault="004A6B38" w:rsidP="00C74F40">
      <w:pPr>
        <w:pStyle w:val="Testo2"/>
        <w:rPr>
          <w:noProof w:val="0"/>
          <w:lang w:val="en-GB"/>
        </w:rPr>
      </w:pPr>
      <w:r w:rsidRPr="00151D12">
        <w:rPr>
          <w:i/>
          <w:noProof w:val="0"/>
          <w:lang w:val="en-GB"/>
        </w:rPr>
        <w:t>Note</w:t>
      </w:r>
    </w:p>
    <w:p w14:paraId="500593B0" w14:textId="74F8CD08" w:rsidR="00C74F40" w:rsidRPr="00151D12" w:rsidRDefault="00B3112F" w:rsidP="00C74F40">
      <w:pPr>
        <w:pStyle w:val="Testo2"/>
        <w:rPr>
          <w:noProof w:val="0"/>
          <w:lang w:val="en-GB"/>
        </w:rPr>
      </w:pPr>
      <w:r w:rsidRPr="00151D12">
        <w:rPr>
          <w:noProof w:val="0"/>
          <w:lang w:val="en-GB"/>
        </w:rPr>
        <w:t xml:space="preserve">Students’ attendance is recommended </w:t>
      </w:r>
      <w:r w:rsidR="000B4E63" w:rsidRPr="00151D12">
        <w:rPr>
          <w:noProof w:val="0"/>
          <w:lang w:val="en-GB"/>
        </w:rPr>
        <w:t>since</w:t>
      </w:r>
      <w:r w:rsidR="004A6B38" w:rsidRPr="00151D12">
        <w:rPr>
          <w:noProof w:val="0"/>
          <w:lang w:val="en-GB"/>
        </w:rPr>
        <w:t xml:space="preserve"> the teaching method used consist</w:t>
      </w:r>
      <w:r w:rsidR="000B4E63" w:rsidRPr="00151D12">
        <w:rPr>
          <w:noProof w:val="0"/>
          <w:lang w:val="en-GB"/>
        </w:rPr>
        <w:t>s</w:t>
      </w:r>
      <w:r w:rsidR="004A6B38" w:rsidRPr="00151D12">
        <w:rPr>
          <w:noProof w:val="0"/>
          <w:lang w:val="en-GB"/>
        </w:rPr>
        <w:t xml:space="preserve"> of frontal lectures in class</w:t>
      </w:r>
      <w:r w:rsidRPr="00151D12">
        <w:rPr>
          <w:noProof w:val="0"/>
          <w:lang w:val="en-GB"/>
        </w:rPr>
        <w:t>,</w:t>
      </w:r>
      <w:r w:rsidR="004A6B38" w:rsidRPr="00151D12">
        <w:rPr>
          <w:noProof w:val="0"/>
          <w:lang w:val="en-GB"/>
        </w:rPr>
        <w:t xml:space="preserve"> based not only on the theoretical framework but also on the discussion of judgments of the EU Court of Justice, under the lecturer’s guidance</w:t>
      </w:r>
      <w:r w:rsidR="00C74F40" w:rsidRPr="00151D12">
        <w:rPr>
          <w:noProof w:val="0"/>
          <w:lang w:val="en-GB"/>
        </w:rPr>
        <w:t>.</w:t>
      </w:r>
    </w:p>
    <w:p w14:paraId="00FF9518" w14:textId="295666DD" w:rsidR="00C74F40" w:rsidRPr="00151D12" w:rsidRDefault="004A6B38" w:rsidP="00C74F40">
      <w:pPr>
        <w:pStyle w:val="Testo2"/>
        <w:rPr>
          <w:noProof w:val="0"/>
          <w:lang w:val="en-GB"/>
        </w:rPr>
      </w:pPr>
      <w:proofErr w:type="gramStart"/>
      <w:r w:rsidRPr="00151D12">
        <w:rPr>
          <w:noProof w:val="0"/>
          <w:lang w:val="en-GB"/>
        </w:rPr>
        <w:t>Also</w:t>
      </w:r>
      <w:proofErr w:type="gramEnd"/>
      <w:r w:rsidRPr="00151D12">
        <w:rPr>
          <w:noProof w:val="0"/>
          <w:lang w:val="en-GB"/>
        </w:rPr>
        <w:t xml:space="preserve"> for non-attending students, however, the two volumes included in the reading list provide complete covering of the subject. The chairholder</w:t>
      </w:r>
      <w:r w:rsidR="007371CE">
        <w:rPr>
          <w:noProof w:val="0"/>
          <w:lang w:val="en-GB"/>
        </w:rPr>
        <w:t>s</w:t>
      </w:r>
      <w:r w:rsidRPr="00151D12">
        <w:rPr>
          <w:noProof w:val="0"/>
          <w:lang w:val="en-GB"/>
        </w:rPr>
        <w:t xml:space="preserve"> and </w:t>
      </w:r>
      <w:r w:rsidR="000B4E63" w:rsidRPr="00151D12">
        <w:rPr>
          <w:noProof w:val="0"/>
          <w:lang w:val="en-GB"/>
        </w:rPr>
        <w:t>his</w:t>
      </w:r>
      <w:r w:rsidRPr="00151D12">
        <w:rPr>
          <w:noProof w:val="0"/>
          <w:lang w:val="en-GB"/>
        </w:rPr>
        <w:t xml:space="preserve"> assi</w:t>
      </w:r>
      <w:r w:rsidR="000B4E63" w:rsidRPr="00151D12">
        <w:rPr>
          <w:noProof w:val="0"/>
          <w:lang w:val="en-GB"/>
        </w:rPr>
        <w:t>s</w:t>
      </w:r>
      <w:r w:rsidRPr="00151D12">
        <w:rPr>
          <w:noProof w:val="0"/>
          <w:lang w:val="en-GB"/>
        </w:rPr>
        <w:t>tants are available for any clarifications non-attending students may need</w:t>
      </w:r>
      <w:r w:rsidR="00C74F40" w:rsidRPr="00151D12">
        <w:rPr>
          <w:noProof w:val="0"/>
          <w:lang w:val="en-GB"/>
        </w:rPr>
        <w:t>.</w:t>
      </w:r>
    </w:p>
    <w:p w14:paraId="68075823" w14:textId="1BC51473" w:rsidR="00C74F40" w:rsidRPr="00151D12" w:rsidRDefault="004A6B38" w:rsidP="00C74F40">
      <w:pPr>
        <w:pStyle w:val="Testo2"/>
        <w:rPr>
          <w:noProof w:val="0"/>
          <w:lang w:val="en-GB"/>
        </w:rPr>
      </w:pPr>
      <w:r w:rsidRPr="00151D12">
        <w:rPr>
          <w:noProof w:val="0"/>
          <w:lang w:val="en-GB"/>
        </w:rPr>
        <w:t xml:space="preserve">For requests relating to the exam </w:t>
      </w:r>
      <w:r w:rsidR="003965B3" w:rsidRPr="00151D12">
        <w:rPr>
          <w:noProof w:val="0"/>
          <w:lang w:val="en-GB"/>
        </w:rPr>
        <w:t>contents</w:t>
      </w:r>
      <w:r w:rsidRPr="00151D12">
        <w:rPr>
          <w:noProof w:val="0"/>
          <w:lang w:val="en-GB"/>
        </w:rPr>
        <w:t xml:space="preserve">, </w:t>
      </w:r>
      <w:r w:rsidR="003965B3" w:rsidRPr="00151D12">
        <w:rPr>
          <w:noProof w:val="0"/>
          <w:lang w:val="en-GB"/>
        </w:rPr>
        <w:t xml:space="preserve">the </w:t>
      </w:r>
      <w:r w:rsidRPr="00151D12">
        <w:rPr>
          <w:noProof w:val="0"/>
          <w:lang w:val="en-GB"/>
        </w:rPr>
        <w:t>thes</w:t>
      </w:r>
      <w:r w:rsidR="003965B3" w:rsidRPr="00151D12">
        <w:rPr>
          <w:noProof w:val="0"/>
          <w:lang w:val="en-GB"/>
        </w:rPr>
        <w:t>i</w:t>
      </w:r>
      <w:r w:rsidRPr="00151D12">
        <w:rPr>
          <w:noProof w:val="0"/>
          <w:lang w:val="en-GB"/>
        </w:rPr>
        <w:t xml:space="preserve">s, or exams abroad, it is essential to </w:t>
      </w:r>
      <w:r w:rsidR="000B4E63" w:rsidRPr="00151D12">
        <w:rPr>
          <w:noProof w:val="0"/>
          <w:lang w:val="en-GB"/>
        </w:rPr>
        <w:t>previously</w:t>
      </w:r>
      <w:r w:rsidRPr="00151D12">
        <w:rPr>
          <w:noProof w:val="0"/>
          <w:lang w:val="en-GB"/>
        </w:rPr>
        <w:t xml:space="preserve"> contact the assistant</w:t>
      </w:r>
      <w:r w:rsidR="003965B3" w:rsidRPr="00151D12">
        <w:rPr>
          <w:noProof w:val="0"/>
          <w:lang w:val="en-GB"/>
        </w:rPr>
        <w:t xml:space="preserve"> professors </w:t>
      </w:r>
      <w:r w:rsidRPr="00151D12">
        <w:rPr>
          <w:noProof w:val="0"/>
          <w:lang w:val="en-GB"/>
        </w:rPr>
        <w:t xml:space="preserve">indicated on the </w:t>
      </w:r>
      <w:r w:rsidR="003965B3" w:rsidRPr="00151D12">
        <w:rPr>
          <w:noProof w:val="0"/>
          <w:lang w:val="en-GB"/>
        </w:rPr>
        <w:t>lecturer</w:t>
      </w:r>
      <w:r w:rsidRPr="00151D12">
        <w:rPr>
          <w:noProof w:val="0"/>
          <w:lang w:val="en-GB"/>
        </w:rPr>
        <w:t xml:space="preserve">'s web page.  </w:t>
      </w:r>
    </w:p>
    <w:p w14:paraId="7CCD2D2D" w14:textId="44CCB0F3" w:rsidR="00C74F40" w:rsidRPr="00151D12" w:rsidRDefault="003965B3" w:rsidP="00C74F40">
      <w:pPr>
        <w:pStyle w:val="Testo2"/>
        <w:rPr>
          <w:noProof w:val="0"/>
          <w:lang w:val="en-GB"/>
        </w:rPr>
      </w:pPr>
      <w:r w:rsidRPr="00151D12">
        <w:rPr>
          <w:noProof w:val="0"/>
          <w:lang w:val="en-GB"/>
        </w:rPr>
        <w:t xml:space="preserve">It is not possible to develop a thesis on </w:t>
      </w:r>
      <w:r w:rsidR="000B4E63" w:rsidRPr="00151D12">
        <w:rPr>
          <w:noProof w:val="0"/>
          <w:lang w:val="en-GB"/>
        </w:rPr>
        <w:t xml:space="preserve">the </w:t>
      </w:r>
      <w:r w:rsidRPr="00151D12">
        <w:rPr>
          <w:noProof w:val="0"/>
          <w:lang w:val="en-GB"/>
        </w:rPr>
        <w:t>EU law without an adequate understanding of complex legal texts in English. Preferential elements in the assignment of thesis</w:t>
      </w:r>
      <w:r w:rsidR="00794A52" w:rsidRPr="00151D12">
        <w:rPr>
          <w:noProof w:val="0"/>
          <w:lang w:val="en-GB"/>
        </w:rPr>
        <w:t xml:space="preserve"> titles</w:t>
      </w:r>
      <w:r w:rsidRPr="00151D12">
        <w:rPr>
          <w:noProof w:val="0"/>
          <w:lang w:val="en-GB"/>
        </w:rPr>
        <w:t xml:space="preserve"> </w:t>
      </w:r>
      <w:proofErr w:type="gramStart"/>
      <w:r w:rsidRPr="00151D12">
        <w:rPr>
          <w:noProof w:val="0"/>
          <w:lang w:val="en-GB"/>
        </w:rPr>
        <w:t>are:</w:t>
      </w:r>
      <w:proofErr w:type="gramEnd"/>
      <w:r w:rsidRPr="00151D12">
        <w:rPr>
          <w:noProof w:val="0"/>
          <w:lang w:val="en-GB"/>
        </w:rPr>
        <w:t xml:space="preserve"> a good knowledge of French or another language of a Member State; course </w:t>
      </w:r>
      <w:r w:rsidR="00794A52" w:rsidRPr="00151D12">
        <w:rPr>
          <w:noProof w:val="0"/>
          <w:lang w:val="en-GB"/>
        </w:rPr>
        <w:t>attendance</w:t>
      </w:r>
      <w:r w:rsidRPr="00151D12">
        <w:rPr>
          <w:noProof w:val="0"/>
          <w:lang w:val="en-GB"/>
        </w:rPr>
        <w:t xml:space="preserve">; passing the exam of International Trade Law, due to the fundamental importance of the exclusive </w:t>
      </w:r>
      <w:r w:rsidR="00794A52" w:rsidRPr="00151D12">
        <w:rPr>
          <w:noProof w:val="0"/>
          <w:lang w:val="en-GB"/>
        </w:rPr>
        <w:t xml:space="preserve">EU </w:t>
      </w:r>
      <w:r w:rsidRPr="00151D12">
        <w:rPr>
          <w:noProof w:val="0"/>
          <w:lang w:val="en-GB"/>
        </w:rPr>
        <w:t xml:space="preserve">competence in the field of </w:t>
      </w:r>
      <w:r w:rsidR="00794A52" w:rsidRPr="00151D12">
        <w:rPr>
          <w:noProof w:val="0"/>
          <w:lang w:val="en-GB"/>
        </w:rPr>
        <w:t>trade</w:t>
      </w:r>
      <w:r w:rsidRPr="00151D12">
        <w:rPr>
          <w:noProof w:val="0"/>
          <w:lang w:val="en-GB"/>
        </w:rPr>
        <w:t xml:space="preserve"> policy</w:t>
      </w:r>
      <w:r w:rsidR="00C74F40" w:rsidRPr="00151D12">
        <w:rPr>
          <w:noProof w:val="0"/>
          <w:lang w:val="en-GB"/>
        </w:rPr>
        <w:t>.</w:t>
      </w:r>
    </w:p>
    <w:p w14:paraId="664B0351" w14:textId="4C8C55F2" w:rsidR="00C74F40" w:rsidRPr="00151D12" w:rsidRDefault="00C74F40" w:rsidP="006F6CC6">
      <w:pPr>
        <w:pStyle w:val="Testo2"/>
        <w:spacing w:before="120"/>
        <w:rPr>
          <w:i/>
          <w:noProof w:val="0"/>
          <w:lang w:val="en-GB"/>
        </w:rPr>
      </w:pPr>
      <w:r w:rsidRPr="00151D12">
        <w:rPr>
          <w:i/>
          <w:noProof w:val="0"/>
          <w:lang w:val="en-GB"/>
        </w:rPr>
        <w:t>Prerequisit</w:t>
      </w:r>
      <w:r w:rsidR="00794A52" w:rsidRPr="00151D12">
        <w:rPr>
          <w:i/>
          <w:noProof w:val="0"/>
          <w:lang w:val="en-GB"/>
        </w:rPr>
        <w:t>es</w:t>
      </w:r>
    </w:p>
    <w:p w14:paraId="478B39BB" w14:textId="4A5C73FE" w:rsidR="006A37C4" w:rsidRPr="00151D12" w:rsidRDefault="00794A52" w:rsidP="009A5B4D">
      <w:pPr>
        <w:pStyle w:val="Testo2"/>
        <w:rPr>
          <w:noProof w:val="0"/>
          <w:lang w:val="en-GB"/>
        </w:rPr>
      </w:pPr>
      <w:r w:rsidRPr="00151D12">
        <w:rPr>
          <w:noProof w:val="0"/>
          <w:lang w:val="en-GB"/>
        </w:rPr>
        <w:t xml:space="preserve">The course requires the knowledge of the internal constitutional law (Italian or foreign) to fully understand the relationship between the EU legal system and the legal systems of the Member States, to develop the skills required for a critical analysis of the institutional, regulatory and case-law aspects of the subject, to understand the specificity of the EU's autonomous system and therefore the uselessness of </w:t>
      </w:r>
      <w:r w:rsidR="007A19BD" w:rsidRPr="00151D12">
        <w:rPr>
          <w:noProof w:val="0"/>
          <w:lang w:val="en-GB"/>
        </w:rPr>
        <w:t xml:space="preserve">the typical categories of </w:t>
      </w:r>
      <w:r w:rsidRPr="00151D12">
        <w:rPr>
          <w:noProof w:val="0"/>
          <w:lang w:val="en-GB"/>
        </w:rPr>
        <w:t xml:space="preserve">constitutional law in the analysis of the nature, functioning, guarantees, and application tools of EU law. </w:t>
      </w:r>
      <w:proofErr w:type="gramStart"/>
      <w:r w:rsidRPr="00151D12">
        <w:rPr>
          <w:noProof w:val="0"/>
          <w:lang w:val="en-GB"/>
        </w:rPr>
        <w:lastRenderedPageBreak/>
        <w:t>Also</w:t>
      </w:r>
      <w:proofErr w:type="gramEnd"/>
      <w:r w:rsidRPr="00151D12">
        <w:rPr>
          <w:noProof w:val="0"/>
          <w:lang w:val="en-GB"/>
        </w:rPr>
        <w:t xml:space="preserve"> the students who have passed a Constitutional Law exam abroad may ask the lecturer to take the European Union Law exam</w:t>
      </w:r>
      <w:r w:rsidR="00C74F40" w:rsidRPr="00151D12">
        <w:rPr>
          <w:noProof w:val="0"/>
          <w:lang w:val="en-GB"/>
        </w:rPr>
        <w:t>.</w:t>
      </w:r>
    </w:p>
    <w:p w14:paraId="19A94C43" w14:textId="77777777" w:rsidR="00EF4287" w:rsidRPr="00151D12" w:rsidRDefault="00EF4287" w:rsidP="00EF4287">
      <w:pPr>
        <w:tabs>
          <w:tab w:val="clear" w:pos="284"/>
        </w:tabs>
        <w:spacing w:before="120" w:line="259" w:lineRule="auto"/>
        <w:ind w:firstLine="284"/>
        <w:jc w:val="left"/>
        <w:rPr>
          <w:rFonts w:eastAsiaTheme="minorHAnsi"/>
          <w:sz w:val="18"/>
          <w:szCs w:val="18"/>
          <w:lang w:val="en-US" w:eastAsia="en-US"/>
        </w:rPr>
      </w:pPr>
      <w:bookmarkStart w:id="1" w:name="_Hlk18839278"/>
      <w:r w:rsidRPr="00151D12">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790BAC7F" w14:textId="79EBBABF" w:rsidR="00C74F40" w:rsidRPr="00151D12" w:rsidRDefault="008005DB" w:rsidP="00C74F40">
      <w:pPr>
        <w:tabs>
          <w:tab w:val="clear" w:pos="284"/>
        </w:tabs>
        <w:ind w:firstLine="284"/>
        <w:rPr>
          <w:rFonts w:ascii="Times" w:hAnsi="Times"/>
          <w:sz w:val="16"/>
          <w:szCs w:val="20"/>
          <w:lang w:val="en-GB"/>
        </w:rPr>
      </w:pPr>
      <w:r w:rsidRPr="00151D12">
        <w:rPr>
          <w:sz w:val="18"/>
          <w:lang w:val="en-GB"/>
        </w:rPr>
        <w:t xml:space="preserve">Further information can be found on the lecturer's webpage at http://docenti.unicatt.it/web/searchByName.do?language=ENG or on the </w:t>
      </w:r>
      <w:proofErr w:type="gramStart"/>
      <w:r w:rsidRPr="00151D12">
        <w:rPr>
          <w:sz w:val="18"/>
          <w:lang w:val="en-GB"/>
        </w:rPr>
        <w:t>Faculty</w:t>
      </w:r>
      <w:proofErr w:type="gramEnd"/>
      <w:r w:rsidRPr="00151D12">
        <w:rPr>
          <w:sz w:val="18"/>
          <w:lang w:val="en-GB"/>
        </w:rPr>
        <w:t xml:space="preserve"> notice board.</w:t>
      </w:r>
      <w:bookmarkEnd w:id="1"/>
    </w:p>
    <w:p w14:paraId="7DE430FB" w14:textId="5BE83B35" w:rsidR="006A37C4" w:rsidRPr="009A5B4D" w:rsidRDefault="006A37C4" w:rsidP="00D57AFF">
      <w:pPr>
        <w:tabs>
          <w:tab w:val="clear" w:pos="284"/>
        </w:tabs>
        <w:ind w:left="426" w:hanging="426"/>
        <w:rPr>
          <w:lang w:val="en-US"/>
        </w:rPr>
      </w:pPr>
    </w:p>
    <w:sectPr w:rsidR="006A37C4" w:rsidRPr="009A5B4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5481" w14:textId="77777777" w:rsidR="00861DD7" w:rsidRDefault="00861DD7" w:rsidP="00C74F40">
      <w:pPr>
        <w:spacing w:line="240" w:lineRule="auto"/>
      </w:pPr>
      <w:r>
        <w:separator/>
      </w:r>
    </w:p>
  </w:endnote>
  <w:endnote w:type="continuationSeparator" w:id="0">
    <w:p w14:paraId="54BEA4C4" w14:textId="77777777" w:rsidR="00861DD7" w:rsidRDefault="00861DD7" w:rsidP="00C74F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6AB8" w14:textId="77777777" w:rsidR="00861DD7" w:rsidRDefault="00861DD7" w:rsidP="00C74F40">
      <w:pPr>
        <w:spacing w:line="240" w:lineRule="auto"/>
      </w:pPr>
      <w:r>
        <w:separator/>
      </w:r>
    </w:p>
  </w:footnote>
  <w:footnote w:type="continuationSeparator" w:id="0">
    <w:p w14:paraId="65B8806A" w14:textId="77777777" w:rsidR="00861DD7" w:rsidRDefault="00861DD7" w:rsidP="00C74F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2109"/>
    <w:multiLevelType w:val="multilevel"/>
    <w:tmpl w:val="FD520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4075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40"/>
    <w:rsid w:val="00024CB2"/>
    <w:rsid w:val="00043CA8"/>
    <w:rsid w:val="00052C24"/>
    <w:rsid w:val="000579B0"/>
    <w:rsid w:val="00057DCB"/>
    <w:rsid w:val="000723C1"/>
    <w:rsid w:val="000B4E63"/>
    <w:rsid w:val="000E0ECD"/>
    <w:rsid w:val="00151D12"/>
    <w:rsid w:val="00187B99"/>
    <w:rsid w:val="001A6EE3"/>
    <w:rsid w:val="002014DD"/>
    <w:rsid w:val="00206E99"/>
    <w:rsid w:val="00257830"/>
    <w:rsid w:val="00261541"/>
    <w:rsid w:val="00266C01"/>
    <w:rsid w:val="002A373A"/>
    <w:rsid w:val="002D5E17"/>
    <w:rsid w:val="002E705C"/>
    <w:rsid w:val="002F54BF"/>
    <w:rsid w:val="00325F28"/>
    <w:rsid w:val="00337EB4"/>
    <w:rsid w:val="00377E6C"/>
    <w:rsid w:val="003961AD"/>
    <w:rsid w:val="003965B3"/>
    <w:rsid w:val="003D2B72"/>
    <w:rsid w:val="00401BB2"/>
    <w:rsid w:val="004149EB"/>
    <w:rsid w:val="00490E96"/>
    <w:rsid w:val="00493053"/>
    <w:rsid w:val="004A6B38"/>
    <w:rsid w:val="004D1217"/>
    <w:rsid w:val="004D6008"/>
    <w:rsid w:val="004F34BE"/>
    <w:rsid w:val="00555D9A"/>
    <w:rsid w:val="00596CDD"/>
    <w:rsid w:val="005B257F"/>
    <w:rsid w:val="005E75D9"/>
    <w:rsid w:val="00611B74"/>
    <w:rsid w:val="00640794"/>
    <w:rsid w:val="00666720"/>
    <w:rsid w:val="006A37C4"/>
    <w:rsid w:val="006E7067"/>
    <w:rsid w:val="006E72CB"/>
    <w:rsid w:val="006F1772"/>
    <w:rsid w:val="006F6CC6"/>
    <w:rsid w:val="00721578"/>
    <w:rsid w:val="007371CE"/>
    <w:rsid w:val="007823A7"/>
    <w:rsid w:val="00794A52"/>
    <w:rsid w:val="007A19BD"/>
    <w:rsid w:val="007A24A0"/>
    <w:rsid w:val="008005DB"/>
    <w:rsid w:val="00861DD7"/>
    <w:rsid w:val="008942E7"/>
    <w:rsid w:val="008A1204"/>
    <w:rsid w:val="00900CCA"/>
    <w:rsid w:val="00924B77"/>
    <w:rsid w:val="00940401"/>
    <w:rsid w:val="00940DA2"/>
    <w:rsid w:val="009547B1"/>
    <w:rsid w:val="009932C6"/>
    <w:rsid w:val="009A5B4D"/>
    <w:rsid w:val="009D29C5"/>
    <w:rsid w:val="009E055C"/>
    <w:rsid w:val="009E229C"/>
    <w:rsid w:val="00A6109F"/>
    <w:rsid w:val="00A67B58"/>
    <w:rsid w:val="00A74F6F"/>
    <w:rsid w:val="00A83D15"/>
    <w:rsid w:val="00AC40CC"/>
    <w:rsid w:val="00AD7557"/>
    <w:rsid w:val="00AE5E41"/>
    <w:rsid w:val="00AF5AAB"/>
    <w:rsid w:val="00B05AB9"/>
    <w:rsid w:val="00B3112F"/>
    <w:rsid w:val="00B50C5D"/>
    <w:rsid w:val="00B51253"/>
    <w:rsid w:val="00B525CC"/>
    <w:rsid w:val="00B53E09"/>
    <w:rsid w:val="00B854DC"/>
    <w:rsid w:val="00BD4A0E"/>
    <w:rsid w:val="00C27633"/>
    <w:rsid w:val="00C42A63"/>
    <w:rsid w:val="00C469F8"/>
    <w:rsid w:val="00C74F40"/>
    <w:rsid w:val="00D3042A"/>
    <w:rsid w:val="00D404F2"/>
    <w:rsid w:val="00D41F97"/>
    <w:rsid w:val="00D57AFF"/>
    <w:rsid w:val="00D7133F"/>
    <w:rsid w:val="00D74D7B"/>
    <w:rsid w:val="00D8703E"/>
    <w:rsid w:val="00E11DE8"/>
    <w:rsid w:val="00E26CD8"/>
    <w:rsid w:val="00E607E6"/>
    <w:rsid w:val="00E8546B"/>
    <w:rsid w:val="00EB6171"/>
    <w:rsid w:val="00EB734A"/>
    <w:rsid w:val="00EF4287"/>
    <w:rsid w:val="00F1597E"/>
    <w:rsid w:val="00F23768"/>
    <w:rsid w:val="00F41DA0"/>
    <w:rsid w:val="00F57E29"/>
    <w:rsid w:val="00FD109A"/>
    <w:rsid w:val="00FF2F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B6459"/>
  <w15:chartTrackingRefBased/>
  <w15:docId w15:val="{FEE22B69-42EB-4588-858F-A2F25082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C74F40"/>
    <w:rPr>
      <w:color w:val="0563C1" w:themeColor="hyperlink"/>
      <w:u w:val="single"/>
    </w:rPr>
  </w:style>
  <w:style w:type="paragraph" w:styleId="Testonotaapidipagina">
    <w:name w:val="footnote text"/>
    <w:basedOn w:val="Normale"/>
    <w:link w:val="TestonotaapidipaginaCarattere"/>
    <w:unhideWhenUsed/>
    <w:rsid w:val="00C74F40"/>
    <w:pPr>
      <w:spacing w:line="240" w:lineRule="auto"/>
    </w:pPr>
    <w:rPr>
      <w:szCs w:val="20"/>
    </w:rPr>
  </w:style>
  <w:style w:type="character" w:customStyle="1" w:styleId="TestonotaapidipaginaCarattere">
    <w:name w:val="Testo nota a piè di pagina Carattere"/>
    <w:basedOn w:val="Carpredefinitoparagrafo"/>
    <w:link w:val="Testonotaapidipagina"/>
    <w:rsid w:val="00C74F40"/>
  </w:style>
  <w:style w:type="character" w:styleId="Rimandonotaapidipagina">
    <w:name w:val="footnote reference"/>
    <w:basedOn w:val="Carpredefinitoparagrafo"/>
    <w:unhideWhenUsed/>
    <w:rsid w:val="00C74F40"/>
    <w:rPr>
      <w:vertAlign w:val="superscript"/>
    </w:rPr>
  </w:style>
  <w:style w:type="paragraph" w:styleId="NormaleWeb">
    <w:name w:val="Normal (Web)"/>
    <w:basedOn w:val="Normale"/>
    <w:uiPriority w:val="99"/>
    <w:unhideWhenUsed/>
    <w:rsid w:val="00C74F40"/>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4A4C-1E19-41B1-81A6-D5468E3A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6</Pages>
  <Words>2204</Words>
  <Characters>11841</Characters>
  <Application>Microsoft Office Word</Application>
  <DocSecurity>0</DocSecurity>
  <Lines>98</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2021-05-28T14:23:00Z</dcterms:created>
  <dcterms:modified xsi:type="dcterms:W3CDTF">2022-12-19T08:36:00Z</dcterms:modified>
</cp:coreProperties>
</file>