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4CD4" w14:textId="77777777" w:rsidR="00282636" w:rsidRPr="009E7731" w:rsidRDefault="00282636" w:rsidP="00282636">
      <w:pPr>
        <w:keepNext/>
        <w:suppressAutoHyphens/>
        <w:spacing w:before="480" w:line="240" w:lineRule="exact"/>
        <w:outlineLvl w:val="0"/>
        <w:rPr>
          <w:rFonts w:ascii="Times" w:eastAsia="Arial Unicode MS" w:hAnsi="Times" w:cs="Times"/>
          <w:b/>
          <w:kern w:val="1"/>
          <w:szCs w:val="20"/>
          <w:lang w:eastAsia="ar-SA"/>
        </w:rPr>
      </w:pPr>
      <w:bookmarkStart w:id="0" w:name="_Toc425850390"/>
      <w:bookmarkStart w:id="1" w:name="_Toc457287488"/>
      <w:r w:rsidRPr="009E7731">
        <w:rPr>
          <w:rFonts w:ascii="Times" w:eastAsia="Arial Unicode MS" w:hAnsi="Times" w:cs="Times"/>
          <w:b/>
          <w:kern w:val="1"/>
          <w:szCs w:val="20"/>
          <w:lang w:eastAsia="ar-SA"/>
        </w:rPr>
        <w:t>Comparative Commercial Law</w:t>
      </w:r>
    </w:p>
    <w:p w14:paraId="57784A66" w14:textId="292FB637" w:rsidR="00DC2086" w:rsidRPr="009E7731" w:rsidRDefault="0069772C" w:rsidP="00DC2086">
      <w:pPr>
        <w:pStyle w:val="Titolo2"/>
        <w:rPr>
          <w:noProof w:val="0"/>
        </w:rPr>
      </w:pPr>
      <w:r w:rsidRPr="009E7731">
        <w:rPr>
          <w:noProof w:val="0"/>
        </w:rPr>
        <w:t xml:space="preserve">Prof. </w:t>
      </w:r>
      <w:bookmarkEnd w:id="0"/>
      <w:bookmarkEnd w:id="1"/>
      <w:r w:rsidRPr="009E7731">
        <w:rPr>
          <w:noProof w:val="0"/>
        </w:rPr>
        <w:t>Vincenzo Cariello</w:t>
      </w:r>
    </w:p>
    <w:p w14:paraId="2906A1B4" w14:textId="4CD2BBD4" w:rsidR="002D5E17" w:rsidRPr="009E7731" w:rsidRDefault="00C80338" w:rsidP="0069772C">
      <w:pPr>
        <w:spacing w:before="240" w:after="120" w:line="240" w:lineRule="exact"/>
        <w:rPr>
          <w:b/>
          <w:sz w:val="18"/>
          <w:lang w:val="en-GB"/>
        </w:rPr>
      </w:pPr>
      <w:r w:rsidRPr="009E7731">
        <w:rPr>
          <w:b/>
          <w:i/>
          <w:sz w:val="18"/>
          <w:lang w:val="en-GB"/>
        </w:rPr>
        <w:t>COURSE AIMS AND INTENDED LEARNING OUTCOMES</w:t>
      </w:r>
    </w:p>
    <w:p w14:paraId="7E764044" w14:textId="17623E42" w:rsidR="0069772C" w:rsidRPr="009E7731" w:rsidRDefault="00C80338" w:rsidP="0069772C">
      <w:pPr>
        <w:spacing w:line="240" w:lineRule="exact"/>
        <w:rPr>
          <w:rFonts w:ascii="Times" w:hAnsi="Times"/>
          <w:szCs w:val="20"/>
          <w:lang w:val="en-GB"/>
        </w:rPr>
      </w:pPr>
      <w:r w:rsidRPr="009E7731">
        <w:rPr>
          <w:rFonts w:ascii="Times" w:hAnsi="Times"/>
          <w:i/>
          <w:szCs w:val="20"/>
          <w:lang w:val="en-GB"/>
        </w:rPr>
        <w:t>First part</w:t>
      </w:r>
      <w:r w:rsidR="0069772C" w:rsidRPr="009E7731">
        <w:rPr>
          <w:rFonts w:ascii="Times" w:hAnsi="Times"/>
          <w:szCs w:val="20"/>
          <w:lang w:val="en-GB"/>
        </w:rPr>
        <w:t xml:space="preserve">: </w:t>
      </w:r>
      <w:r w:rsidRPr="009E7731">
        <w:rPr>
          <w:rFonts w:ascii="Times" w:hAnsi="Times"/>
          <w:szCs w:val="20"/>
          <w:lang w:val="en-GB"/>
        </w:rPr>
        <w:t>Theory and methods of comparison: the interpretative function of comparative law (October – December).</w:t>
      </w:r>
    </w:p>
    <w:p w14:paraId="198C74A8" w14:textId="0E977AA3" w:rsidR="0069772C" w:rsidRPr="009E7731" w:rsidRDefault="0069772C" w:rsidP="0069772C">
      <w:pPr>
        <w:spacing w:before="120" w:after="120" w:line="240" w:lineRule="exact"/>
        <w:rPr>
          <w:rFonts w:ascii="Times" w:hAnsi="Times"/>
          <w:szCs w:val="20"/>
          <w:lang w:val="en-GB"/>
        </w:rPr>
      </w:pPr>
      <w:r w:rsidRPr="009E7731">
        <w:rPr>
          <w:rFonts w:ascii="Times" w:hAnsi="Times"/>
          <w:i/>
          <w:szCs w:val="20"/>
          <w:lang w:val="en-GB"/>
        </w:rPr>
        <w:t>Second part</w:t>
      </w:r>
      <w:r w:rsidRPr="009E7731">
        <w:rPr>
          <w:rFonts w:ascii="Times" w:hAnsi="Times"/>
          <w:szCs w:val="20"/>
          <w:lang w:val="en-GB"/>
        </w:rPr>
        <w:t xml:space="preserve">: </w:t>
      </w:r>
      <w:r w:rsidR="00DA49B9" w:rsidRPr="009E7731">
        <w:rPr>
          <w:rFonts w:ascii="Times" w:hAnsi="Times"/>
          <w:szCs w:val="20"/>
          <w:lang w:val="en-GB"/>
        </w:rPr>
        <w:t>Comparative law of corporate governance (March – May)</w:t>
      </w:r>
      <w:r w:rsidRPr="009E7731">
        <w:rPr>
          <w:rFonts w:ascii="Times" w:hAnsi="Times"/>
          <w:szCs w:val="20"/>
          <w:lang w:val="en-GB"/>
        </w:rPr>
        <w:t>.</w:t>
      </w:r>
    </w:p>
    <w:p w14:paraId="3C63FF90" w14:textId="38907909" w:rsidR="0069772C" w:rsidRPr="009E7731" w:rsidRDefault="00DA49B9" w:rsidP="0069772C">
      <w:pPr>
        <w:rPr>
          <w:lang w:val="en-GB"/>
        </w:rPr>
      </w:pPr>
      <w:r w:rsidRPr="009E7731">
        <w:rPr>
          <w:rFonts w:ascii="Times" w:hAnsi="Times"/>
          <w:szCs w:val="20"/>
          <w:lang w:val="en-GB"/>
        </w:rPr>
        <w:t>Comparative reconstruction of the essential elements of the corporate rights of some foreign legal systems (with particular attention to: Germany, Switzerland, France, USA); identification and solutions to the main common problems, also in relation to the use of these solutions for the purposes of interpretation and application of Italian company law</w:t>
      </w:r>
      <w:r w:rsidR="00F3515A" w:rsidRPr="009E7731">
        <w:rPr>
          <w:lang w:val="en-GB"/>
        </w:rPr>
        <w:t>.</w:t>
      </w:r>
    </w:p>
    <w:p w14:paraId="6350096F" w14:textId="111CE22C" w:rsidR="0069772C" w:rsidRPr="009E7731" w:rsidRDefault="00F3515A" w:rsidP="0069772C">
      <w:pPr>
        <w:spacing w:line="240" w:lineRule="exact"/>
        <w:rPr>
          <w:rFonts w:ascii="Times" w:hAnsi="Times"/>
          <w:szCs w:val="20"/>
          <w:lang w:val="en-GB"/>
        </w:rPr>
      </w:pPr>
      <w:r w:rsidRPr="009E7731">
        <w:rPr>
          <w:rFonts w:ascii="Times" w:hAnsi="Times"/>
          <w:szCs w:val="20"/>
          <w:lang w:val="en-GB"/>
        </w:rPr>
        <w:t>To this end, after discussi</w:t>
      </w:r>
      <w:r w:rsidR="00C87160" w:rsidRPr="009E7731">
        <w:rPr>
          <w:rFonts w:ascii="Times" w:hAnsi="Times"/>
          <w:szCs w:val="20"/>
          <w:lang w:val="en-GB"/>
        </w:rPr>
        <w:t>ng</w:t>
      </w:r>
      <w:r w:rsidRPr="009E7731">
        <w:rPr>
          <w:rFonts w:ascii="Times" w:hAnsi="Times"/>
          <w:szCs w:val="20"/>
          <w:lang w:val="en-GB"/>
        </w:rPr>
        <w:t xml:space="preserve"> the fundamental profiles of the so-called theory of comparison, with specific functionalisation to</w:t>
      </w:r>
      <w:r w:rsidR="006A3CCE" w:rsidRPr="009E7731">
        <w:rPr>
          <w:rFonts w:ascii="Times" w:hAnsi="Times"/>
          <w:szCs w:val="20"/>
          <w:lang w:val="en-GB"/>
        </w:rPr>
        <w:t>wards</w:t>
      </w:r>
      <w:r w:rsidRPr="009E7731">
        <w:rPr>
          <w:rFonts w:ascii="Times" w:hAnsi="Times"/>
          <w:szCs w:val="20"/>
          <w:lang w:val="en-GB"/>
        </w:rPr>
        <w:t xml:space="preserve"> the "methods" of comparative commercial law and the interpretative/argumentative techniques of and in comparative law, </w:t>
      </w:r>
      <w:r w:rsidR="00C87160" w:rsidRPr="009E7731">
        <w:rPr>
          <w:rFonts w:ascii="Times" w:hAnsi="Times"/>
          <w:szCs w:val="20"/>
          <w:lang w:val="en-GB"/>
        </w:rPr>
        <w:t>the lecturer will identify the jurisprudential</w:t>
      </w:r>
      <w:r w:rsidRPr="009E7731">
        <w:rPr>
          <w:rFonts w:ascii="Times" w:hAnsi="Times"/>
          <w:szCs w:val="20"/>
          <w:lang w:val="en-GB"/>
        </w:rPr>
        <w:t xml:space="preserve"> </w:t>
      </w:r>
      <w:r w:rsidRPr="009E7731">
        <w:rPr>
          <w:rFonts w:ascii="Times" w:hAnsi="Times"/>
          <w:i/>
          <w:iCs/>
          <w:szCs w:val="20"/>
          <w:lang w:val="en-GB"/>
        </w:rPr>
        <w:t>leading cases</w:t>
      </w:r>
      <w:r w:rsidRPr="009E7731">
        <w:rPr>
          <w:rFonts w:ascii="Times" w:hAnsi="Times"/>
          <w:szCs w:val="20"/>
          <w:lang w:val="en-GB"/>
        </w:rPr>
        <w:t xml:space="preserve"> of four different jurisdictions (German, American, French, </w:t>
      </w:r>
      <w:r w:rsidR="00C32977" w:rsidRPr="009E7731">
        <w:rPr>
          <w:rFonts w:ascii="Times" w:hAnsi="Times"/>
          <w:szCs w:val="20"/>
          <w:lang w:val="en-GB"/>
        </w:rPr>
        <w:t>Swiss-</w:t>
      </w:r>
      <w:r w:rsidRPr="009E7731">
        <w:rPr>
          <w:rFonts w:ascii="Times" w:hAnsi="Times"/>
          <w:szCs w:val="20"/>
          <w:lang w:val="en-GB"/>
        </w:rPr>
        <w:t xml:space="preserve">Italian) </w:t>
      </w:r>
      <w:r w:rsidR="00C87160" w:rsidRPr="009E7731">
        <w:rPr>
          <w:rFonts w:ascii="Times" w:hAnsi="Times"/>
          <w:szCs w:val="20"/>
          <w:lang w:val="en-GB"/>
        </w:rPr>
        <w:t xml:space="preserve">and, </w:t>
      </w:r>
      <w:r w:rsidRPr="009E7731">
        <w:rPr>
          <w:rFonts w:ascii="Times" w:hAnsi="Times"/>
          <w:szCs w:val="20"/>
          <w:lang w:val="en-GB"/>
        </w:rPr>
        <w:t xml:space="preserve">through a comparative analysis, </w:t>
      </w:r>
      <w:r w:rsidR="006A3CCE" w:rsidRPr="009E7731">
        <w:rPr>
          <w:rFonts w:ascii="Times" w:hAnsi="Times"/>
          <w:szCs w:val="20"/>
          <w:lang w:val="en-GB"/>
        </w:rPr>
        <w:t>the lecturer</w:t>
      </w:r>
      <w:r w:rsidRPr="009E7731">
        <w:rPr>
          <w:rFonts w:ascii="Times" w:hAnsi="Times"/>
          <w:szCs w:val="20"/>
          <w:lang w:val="en-GB"/>
        </w:rPr>
        <w:t xml:space="preserve"> will highlight convergences/divergences in the argumentative methodology of the judges of the </w:t>
      </w:r>
      <w:r w:rsidR="00C87160" w:rsidRPr="009E7731">
        <w:rPr>
          <w:rFonts w:ascii="Times" w:hAnsi="Times"/>
          <w:szCs w:val="20"/>
          <w:lang w:val="en-GB"/>
        </w:rPr>
        <w:t>related</w:t>
      </w:r>
      <w:r w:rsidRPr="009E7731">
        <w:rPr>
          <w:rFonts w:ascii="Times" w:hAnsi="Times"/>
          <w:szCs w:val="20"/>
          <w:lang w:val="en-GB"/>
        </w:rPr>
        <w:t xml:space="preserve"> countries</w:t>
      </w:r>
      <w:r w:rsidR="006A3CCE" w:rsidRPr="009E7731">
        <w:rPr>
          <w:rFonts w:ascii="Times" w:hAnsi="Times"/>
          <w:szCs w:val="20"/>
          <w:lang w:val="en-GB"/>
        </w:rPr>
        <w:t>.</w:t>
      </w:r>
      <w:r w:rsidRPr="009E7731">
        <w:rPr>
          <w:rFonts w:ascii="Times" w:hAnsi="Times"/>
          <w:szCs w:val="20"/>
          <w:lang w:val="en-GB"/>
        </w:rPr>
        <w:t xml:space="preserve"> </w:t>
      </w:r>
    </w:p>
    <w:p w14:paraId="1086C42A" w14:textId="41A32CD4" w:rsidR="0069772C" w:rsidRPr="009E7731" w:rsidRDefault="002E15D3" w:rsidP="0069772C">
      <w:pPr>
        <w:spacing w:line="240" w:lineRule="exact"/>
        <w:rPr>
          <w:rFonts w:ascii="Times" w:hAnsi="Times"/>
          <w:szCs w:val="20"/>
          <w:lang w:val="en-GB"/>
        </w:rPr>
      </w:pPr>
      <w:r w:rsidRPr="009E7731">
        <w:rPr>
          <w:rFonts w:ascii="Times" w:hAnsi="Times"/>
          <w:szCs w:val="20"/>
          <w:lang w:val="en-GB"/>
        </w:rPr>
        <w:t>O</w:t>
      </w:r>
      <w:r w:rsidR="00026B0F" w:rsidRPr="009E7731">
        <w:rPr>
          <w:rFonts w:ascii="Times" w:hAnsi="Times"/>
          <w:szCs w:val="20"/>
          <w:lang w:val="en-GB"/>
        </w:rPr>
        <w:t>bjectives, frontal presentation methodology and identified teaching material are designed and organi</w:t>
      </w:r>
      <w:r w:rsidRPr="009E7731">
        <w:rPr>
          <w:rFonts w:ascii="Times" w:hAnsi="Times"/>
          <w:szCs w:val="20"/>
          <w:lang w:val="en-GB"/>
        </w:rPr>
        <w:t>s</w:t>
      </w:r>
      <w:r w:rsidR="00026B0F" w:rsidRPr="009E7731">
        <w:rPr>
          <w:rFonts w:ascii="Times" w:hAnsi="Times"/>
          <w:szCs w:val="20"/>
          <w:lang w:val="en-GB"/>
        </w:rPr>
        <w:t xml:space="preserve">ed according to learning outcomes suitable for reflecting and attesting the acquisition of critical hermeneutical methodologies, methods, techniques and approaches </w:t>
      </w:r>
      <w:r w:rsidR="00E31571" w:rsidRPr="009E7731">
        <w:rPr>
          <w:rFonts w:ascii="Times" w:hAnsi="Times"/>
          <w:szCs w:val="20"/>
          <w:lang w:val="en-GB"/>
        </w:rPr>
        <w:t>aimed at</w:t>
      </w:r>
      <w:r w:rsidR="00FF57C9" w:rsidRPr="009E7731">
        <w:rPr>
          <w:rFonts w:ascii="Times" w:hAnsi="Times"/>
          <w:szCs w:val="20"/>
          <w:lang w:val="en-GB"/>
        </w:rPr>
        <w:t xml:space="preserve"> encourag</w:t>
      </w:r>
      <w:r w:rsidR="00E31571" w:rsidRPr="009E7731">
        <w:rPr>
          <w:rFonts w:ascii="Times" w:hAnsi="Times"/>
          <w:szCs w:val="20"/>
          <w:lang w:val="en-GB"/>
        </w:rPr>
        <w:t>ing</w:t>
      </w:r>
      <w:r w:rsidR="00FF57C9" w:rsidRPr="009E7731">
        <w:rPr>
          <w:rFonts w:ascii="Times" w:hAnsi="Times"/>
          <w:szCs w:val="20"/>
          <w:lang w:val="en-GB"/>
        </w:rPr>
        <w:t xml:space="preserve"> </w:t>
      </w:r>
      <w:r w:rsidR="00026B0F" w:rsidRPr="009E7731">
        <w:rPr>
          <w:rFonts w:ascii="Times" w:hAnsi="Times"/>
          <w:szCs w:val="20"/>
          <w:lang w:val="en-GB"/>
        </w:rPr>
        <w:t xml:space="preserve">reflection on </w:t>
      </w:r>
      <w:r w:rsidR="00FF57C9" w:rsidRPr="009E7731">
        <w:rPr>
          <w:rFonts w:ascii="Times" w:hAnsi="Times"/>
          <w:szCs w:val="20"/>
          <w:lang w:val="en-GB"/>
        </w:rPr>
        <w:t xml:space="preserve">the </w:t>
      </w:r>
      <w:r w:rsidR="00026B0F" w:rsidRPr="009E7731">
        <w:rPr>
          <w:rFonts w:ascii="Times" w:hAnsi="Times"/>
          <w:szCs w:val="20"/>
          <w:lang w:val="en-GB"/>
        </w:rPr>
        <w:t xml:space="preserve">divergences and convergences </w:t>
      </w:r>
      <w:r w:rsidR="00FF57C9" w:rsidRPr="009E7731">
        <w:rPr>
          <w:rFonts w:ascii="Times" w:hAnsi="Times"/>
          <w:szCs w:val="20"/>
          <w:lang w:val="en-GB"/>
        </w:rPr>
        <w:t>among the</w:t>
      </w:r>
      <w:r w:rsidR="00026B0F" w:rsidRPr="009E7731">
        <w:rPr>
          <w:rFonts w:ascii="Times" w:hAnsi="Times"/>
          <w:szCs w:val="20"/>
          <w:lang w:val="en-GB"/>
        </w:rPr>
        <w:t xml:space="preserve"> different legal systems and their use according to the interpretation of </w:t>
      </w:r>
      <w:r w:rsidR="00FF57C9" w:rsidRPr="009E7731">
        <w:rPr>
          <w:rFonts w:ascii="Times" w:hAnsi="Times"/>
          <w:szCs w:val="20"/>
          <w:lang w:val="en-GB"/>
        </w:rPr>
        <w:t>the so-called</w:t>
      </w:r>
      <w:r w:rsidR="00026B0F" w:rsidRPr="009E7731">
        <w:rPr>
          <w:rFonts w:ascii="Times" w:hAnsi="Times"/>
          <w:szCs w:val="20"/>
          <w:lang w:val="en-GB"/>
        </w:rPr>
        <w:t xml:space="preserve"> sensitive areas of domestic company law (Italian).</w:t>
      </w:r>
    </w:p>
    <w:p w14:paraId="1D2034C2" w14:textId="1D8C9CFE" w:rsidR="0069772C" w:rsidRPr="009E7731" w:rsidRDefault="00C80338" w:rsidP="0069772C">
      <w:pPr>
        <w:spacing w:before="240" w:after="120" w:line="240" w:lineRule="exact"/>
        <w:rPr>
          <w:b/>
          <w:sz w:val="18"/>
          <w:lang w:val="en-GB"/>
        </w:rPr>
      </w:pPr>
      <w:r w:rsidRPr="009E7731">
        <w:rPr>
          <w:b/>
          <w:i/>
          <w:sz w:val="18"/>
          <w:lang w:val="en-GB"/>
        </w:rPr>
        <w:t>COURSE CONTENT</w:t>
      </w:r>
    </w:p>
    <w:p w14:paraId="7794C479" w14:textId="6BE6F275" w:rsidR="0069772C" w:rsidRPr="009E7731" w:rsidRDefault="007610D2" w:rsidP="00E33361">
      <w:pPr>
        <w:spacing w:before="120"/>
        <w:rPr>
          <w:i/>
          <w:szCs w:val="20"/>
          <w:lang w:val="en-GB"/>
        </w:rPr>
      </w:pPr>
      <w:r w:rsidRPr="009E7731">
        <w:rPr>
          <w:rFonts w:ascii="Times" w:hAnsi="Times"/>
          <w:smallCaps/>
          <w:sz w:val="18"/>
          <w:szCs w:val="20"/>
          <w:lang w:val="en-GB"/>
        </w:rPr>
        <w:t>First part</w:t>
      </w:r>
      <w:r w:rsidR="0069772C" w:rsidRPr="009E7731">
        <w:rPr>
          <w:rFonts w:ascii="Times" w:hAnsi="Times"/>
          <w:smallCaps/>
          <w:sz w:val="18"/>
          <w:szCs w:val="20"/>
          <w:lang w:val="en-GB"/>
        </w:rPr>
        <w:t xml:space="preserve">: </w:t>
      </w:r>
      <w:r w:rsidRPr="009E7731">
        <w:rPr>
          <w:i/>
          <w:szCs w:val="20"/>
          <w:lang w:val="en-GB"/>
        </w:rPr>
        <w:t xml:space="preserve">From </w:t>
      </w:r>
      <w:r w:rsidR="00E31571" w:rsidRPr="009E7731">
        <w:rPr>
          <w:i/>
          <w:szCs w:val="20"/>
          <w:lang w:val="en-GB"/>
        </w:rPr>
        <w:t xml:space="preserve">comparative </w:t>
      </w:r>
      <w:r w:rsidRPr="009E7731">
        <w:rPr>
          <w:i/>
          <w:szCs w:val="20"/>
          <w:lang w:val="en-GB"/>
        </w:rPr>
        <w:t xml:space="preserve">private law to </w:t>
      </w:r>
      <w:r w:rsidR="00E31571" w:rsidRPr="009E7731">
        <w:rPr>
          <w:i/>
          <w:szCs w:val="20"/>
          <w:lang w:val="en-GB"/>
        </w:rPr>
        <w:t xml:space="preserve">comparative </w:t>
      </w:r>
      <w:r w:rsidRPr="009E7731">
        <w:rPr>
          <w:i/>
          <w:szCs w:val="20"/>
          <w:lang w:val="en-GB"/>
        </w:rPr>
        <w:t>commercial law to the so-called</w:t>
      </w:r>
      <w:r w:rsidR="00713F0E" w:rsidRPr="009E7731">
        <w:rPr>
          <w:i/>
          <w:szCs w:val="20"/>
          <w:lang w:val="en-GB"/>
        </w:rPr>
        <w:t xml:space="preserve"> </w:t>
      </w:r>
      <w:r w:rsidRPr="009E7731">
        <w:rPr>
          <w:i/>
          <w:szCs w:val="20"/>
          <w:lang w:val="en-GB"/>
        </w:rPr>
        <w:t>European corporate law (methods and interpretative function of comparative commercial law and so-called European corporate law)</w:t>
      </w:r>
      <w:r w:rsidRPr="009E7731">
        <w:rPr>
          <w:rFonts w:ascii="Times" w:hAnsi="Times"/>
          <w:smallCaps/>
          <w:sz w:val="18"/>
          <w:szCs w:val="20"/>
          <w:lang w:val="en-GB"/>
        </w:rPr>
        <w:t xml:space="preserve"> </w:t>
      </w:r>
    </w:p>
    <w:p w14:paraId="21425989" w14:textId="55930645" w:rsidR="0069772C" w:rsidRPr="009E7731" w:rsidRDefault="0069772C" w:rsidP="0069772C">
      <w:pPr>
        <w:ind w:left="284" w:hanging="284"/>
        <w:rPr>
          <w:rFonts w:ascii="Times" w:hAnsi="Times"/>
          <w:szCs w:val="20"/>
          <w:lang w:val="en-GB"/>
        </w:rPr>
      </w:pPr>
      <w:r w:rsidRPr="009E7731">
        <w:rPr>
          <w:rFonts w:ascii="Times" w:hAnsi="Times"/>
          <w:szCs w:val="20"/>
          <w:lang w:val="en-GB"/>
        </w:rPr>
        <w:t>–</w:t>
      </w:r>
      <w:r w:rsidRPr="009E7731">
        <w:rPr>
          <w:rFonts w:ascii="Times" w:hAnsi="Times"/>
          <w:szCs w:val="20"/>
          <w:lang w:val="en-GB"/>
        </w:rPr>
        <w:tab/>
      </w:r>
      <w:r w:rsidR="00776534" w:rsidRPr="009E7731">
        <w:rPr>
          <w:rFonts w:ascii="Times" w:hAnsi="Times"/>
          <w:szCs w:val="20"/>
          <w:lang w:val="en-GB"/>
        </w:rPr>
        <w:t xml:space="preserve">Comparative private law and comparative commercial law. </w:t>
      </w:r>
    </w:p>
    <w:p w14:paraId="09718EC0" w14:textId="51953C63" w:rsidR="0069772C" w:rsidRPr="009E7731" w:rsidRDefault="0069772C" w:rsidP="0069772C">
      <w:pPr>
        <w:ind w:left="284" w:hanging="284"/>
        <w:rPr>
          <w:rFonts w:ascii="Times" w:hAnsi="Times"/>
          <w:szCs w:val="20"/>
          <w:lang w:val="en-GB"/>
        </w:rPr>
      </w:pPr>
      <w:r w:rsidRPr="009E7731">
        <w:rPr>
          <w:rFonts w:ascii="Times" w:hAnsi="Times"/>
          <w:szCs w:val="20"/>
          <w:lang w:val="en-GB"/>
        </w:rPr>
        <w:t>–</w:t>
      </w:r>
      <w:r w:rsidRPr="009E7731">
        <w:rPr>
          <w:rFonts w:ascii="Times" w:hAnsi="Times"/>
          <w:szCs w:val="20"/>
          <w:lang w:val="en-GB"/>
        </w:rPr>
        <w:tab/>
      </w:r>
      <w:r w:rsidR="00776534" w:rsidRPr="009E7731">
        <w:rPr>
          <w:rFonts w:ascii="Times" w:hAnsi="Times"/>
          <w:szCs w:val="20"/>
          <w:lang w:val="en-GB"/>
        </w:rPr>
        <w:t>Comparative commercial law, comparative international law, Community and international commercial law</w:t>
      </w:r>
      <w:r w:rsidRPr="009E7731">
        <w:rPr>
          <w:rFonts w:ascii="Times" w:hAnsi="Times"/>
          <w:szCs w:val="20"/>
          <w:lang w:val="en-GB"/>
        </w:rPr>
        <w:t>.</w:t>
      </w:r>
    </w:p>
    <w:p w14:paraId="647E1525" w14:textId="1BB136DF" w:rsidR="0069772C" w:rsidRPr="009E7731" w:rsidRDefault="0069772C" w:rsidP="0069772C">
      <w:pPr>
        <w:ind w:left="284" w:hanging="284"/>
        <w:rPr>
          <w:rFonts w:ascii="Times" w:hAnsi="Times"/>
          <w:szCs w:val="20"/>
          <w:lang w:val="en-GB"/>
        </w:rPr>
      </w:pPr>
      <w:r w:rsidRPr="009E7731">
        <w:rPr>
          <w:rFonts w:ascii="Times" w:hAnsi="Times"/>
          <w:szCs w:val="20"/>
          <w:lang w:val="en-GB"/>
        </w:rPr>
        <w:t>–</w:t>
      </w:r>
      <w:r w:rsidRPr="009E7731">
        <w:rPr>
          <w:rFonts w:ascii="Times" w:hAnsi="Times"/>
          <w:szCs w:val="20"/>
          <w:lang w:val="en-GB"/>
        </w:rPr>
        <w:tab/>
      </w:r>
      <w:r w:rsidR="00776534" w:rsidRPr="009E7731">
        <w:rPr>
          <w:rFonts w:ascii="Times" w:hAnsi="Times"/>
          <w:szCs w:val="20"/>
          <w:lang w:val="en-GB"/>
        </w:rPr>
        <w:t>Comparative commercial law methodology</w:t>
      </w:r>
      <w:r w:rsidRPr="009E7731">
        <w:rPr>
          <w:rFonts w:ascii="Times" w:hAnsi="Times"/>
          <w:szCs w:val="20"/>
          <w:lang w:val="en-GB"/>
        </w:rPr>
        <w:t>.</w:t>
      </w:r>
    </w:p>
    <w:p w14:paraId="53FE0B86" w14:textId="7734D725" w:rsidR="0069772C" w:rsidRPr="009E7731" w:rsidRDefault="0069772C" w:rsidP="0069772C">
      <w:pPr>
        <w:ind w:left="284" w:hanging="284"/>
        <w:rPr>
          <w:rFonts w:ascii="Times" w:hAnsi="Times"/>
          <w:szCs w:val="20"/>
          <w:lang w:val="en-GB"/>
        </w:rPr>
      </w:pPr>
      <w:r w:rsidRPr="009E7731">
        <w:rPr>
          <w:rFonts w:ascii="Times" w:hAnsi="Times"/>
          <w:szCs w:val="20"/>
          <w:lang w:val="en-GB"/>
        </w:rPr>
        <w:t>–</w:t>
      </w:r>
      <w:r w:rsidRPr="009E7731">
        <w:rPr>
          <w:rFonts w:ascii="Times" w:hAnsi="Times"/>
          <w:szCs w:val="20"/>
          <w:lang w:val="en-GB"/>
        </w:rPr>
        <w:tab/>
      </w:r>
      <w:r w:rsidR="00776534" w:rsidRPr="009E7731">
        <w:rPr>
          <w:rFonts w:ascii="Times" w:hAnsi="Times"/>
          <w:szCs w:val="20"/>
          <w:lang w:val="en-GB"/>
        </w:rPr>
        <w:t>Functions of comparative commercial law (so-called interpretative use of comparative law).</w:t>
      </w:r>
    </w:p>
    <w:p w14:paraId="540D00C6" w14:textId="5DA7A51E" w:rsidR="0069772C" w:rsidRPr="009E7731" w:rsidRDefault="0069772C" w:rsidP="0069772C">
      <w:pPr>
        <w:ind w:left="284" w:hanging="284"/>
        <w:rPr>
          <w:rFonts w:ascii="Times" w:hAnsi="Times"/>
          <w:szCs w:val="20"/>
          <w:lang w:val="en-GB"/>
        </w:rPr>
      </w:pPr>
      <w:r w:rsidRPr="009E7731">
        <w:rPr>
          <w:rFonts w:ascii="Times" w:hAnsi="Times"/>
          <w:szCs w:val="20"/>
          <w:lang w:val="en-GB"/>
        </w:rPr>
        <w:lastRenderedPageBreak/>
        <w:t>–</w:t>
      </w:r>
      <w:r w:rsidRPr="009E7731">
        <w:rPr>
          <w:rFonts w:ascii="Times" w:hAnsi="Times"/>
          <w:szCs w:val="20"/>
          <w:lang w:val="en-GB"/>
        </w:rPr>
        <w:tab/>
      </w:r>
      <w:r w:rsidR="00776534" w:rsidRPr="009E7731">
        <w:rPr>
          <w:rFonts w:ascii="Times" w:hAnsi="Times"/>
          <w:szCs w:val="20"/>
          <w:lang w:val="en-GB"/>
        </w:rPr>
        <w:t>Interpretations of and in comparative commercial law. Interpretative laws and strategies of and in comparative commercial law. Laws and strategies for interpreting so-called European corporate law</w:t>
      </w:r>
      <w:r w:rsidRPr="009E7731">
        <w:rPr>
          <w:rFonts w:ascii="Times" w:hAnsi="Times"/>
          <w:szCs w:val="20"/>
          <w:lang w:val="en-GB"/>
        </w:rPr>
        <w:t>.</w:t>
      </w:r>
    </w:p>
    <w:p w14:paraId="11E397C1" w14:textId="7AAC1BDD" w:rsidR="0069772C" w:rsidRPr="009E7731" w:rsidRDefault="007610D2" w:rsidP="00E33361">
      <w:pPr>
        <w:spacing w:before="120"/>
        <w:rPr>
          <w:rFonts w:ascii="Times" w:hAnsi="Times"/>
          <w:i/>
          <w:szCs w:val="20"/>
          <w:lang w:val="en-GB"/>
        </w:rPr>
      </w:pPr>
      <w:r w:rsidRPr="009E7731">
        <w:rPr>
          <w:rFonts w:ascii="Times" w:hAnsi="Times"/>
          <w:smallCaps/>
          <w:sz w:val="18"/>
          <w:szCs w:val="18"/>
          <w:lang w:val="en-GB"/>
        </w:rPr>
        <w:t>Second part</w:t>
      </w:r>
      <w:r w:rsidR="0069772C" w:rsidRPr="009E7731">
        <w:rPr>
          <w:rFonts w:ascii="Times" w:hAnsi="Times"/>
          <w:smallCaps/>
          <w:sz w:val="18"/>
          <w:szCs w:val="18"/>
          <w:lang w:val="en-GB"/>
        </w:rPr>
        <w:t>:</w:t>
      </w:r>
      <w:r w:rsidR="0069772C" w:rsidRPr="009E7731">
        <w:rPr>
          <w:i/>
          <w:szCs w:val="20"/>
          <w:lang w:val="en-GB"/>
        </w:rPr>
        <w:t xml:space="preserve"> Comparative corporate governance</w:t>
      </w:r>
    </w:p>
    <w:p w14:paraId="63418933" w14:textId="3AD3E86F" w:rsidR="0069772C" w:rsidRPr="009E7731" w:rsidRDefault="0069772C" w:rsidP="0069772C">
      <w:pPr>
        <w:ind w:left="284" w:hanging="284"/>
        <w:rPr>
          <w:rFonts w:ascii="Times" w:hAnsi="Times"/>
          <w:szCs w:val="20"/>
          <w:lang w:val="en-GB"/>
        </w:rPr>
      </w:pPr>
      <w:r w:rsidRPr="009E7731">
        <w:rPr>
          <w:rFonts w:ascii="Times" w:hAnsi="Times"/>
          <w:szCs w:val="20"/>
          <w:lang w:val="en-GB"/>
        </w:rPr>
        <w:t>–</w:t>
      </w:r>
      <w:r w:rsidRPr="009E7731">
        <w:rPr>
          <w:rFonts w:ascii="Times" w:hAnsi="Times"/>
          <w:szCs w:val="20"/>
          <w:lang w:val="en-GB"/>
        </w:rPr>
        <w:tab/>
      </w:r>
      <w:r w:rsidR="00776534" w:rsidRPr="009E7731">
        <w:rPr>
          <w:rFonts w:ascii="Times" w:hAnsi="Times"/>
          <w:szCs w:val="20"/>
          <w:lang w:val="en-GB"/>
        </w:rPr>
        <w:t xml:space="preserve">Management and supervision in and of companies (functions - competences - powers - responsibilities). </w:t>
      </w:r>
    </w:p>
    <w:p w14:paraId="64394B4F" w14:textId="16473FA6" w:rsidR="0069772C" w:rsidRPr="009E7731" w:rsidRDefault="0069772C" w:rsidP="0069772C">
      <w:pPr>
        <w:ind w:left="284" w:hanging="284"/>
        <w:rPr>
          <w:rFonts w:ascii="Times" w:hAnsi="Times"/>
          <w:szCs w:val="20"/>
          <w:lang w:val="en-GB"/>
        </w:rPr>
      </w:pPr>
      <w:r w:rsidRPr="009E7731">
        <w:rPr>
          <w:rFonts w:ascii="Times" w:hAnsi="Times"/>
          <w:szCs w:val="20"/>
          <w:lang w:val="en-GB"/>
        </w:rPr>
        <w:t>–</w:t>
      </w:r>
      <w:r w:rsidRPr="009E7731">
        <w:rPr>
          <w:rFonts w:ascii="Times" w:hAnsi="Times"/>
          <w:szCs w:val="20"/>
          <w:lang w:val="en-GB"/>
        </w:rPr>
        <w:tab/>
      </w:r>
      <w:r w:rsidR="00776534" w:rsidRPr="009E7731">
        <w:rPr>
          <w:rFonts w:ascii="Times" w:hAnsi="Times"/>
          <w:szCs w:val="20"/>
          <w:lang w:val="en-GB"/>
        </w:rPr>
        <w:t xml:space="preserve">Shareholder rights (participation techniques and protection techniques). </w:t>
      </w:r>
    </w:p>
    <w:p w14:paraId="050AF11E" w14:textId="686D7BC6" w:rsidR="0069772C" w:rsidRPr="009E7731" w:rsidRDefault="0069772C" w:rsidP="0069772C">
      <w:pPr>
        <w:ind w:left="284" w:hanging="284"/>
        <w:rPr>
          <w:rFonts w:ascii="Times" w:hAnsi="Times"/>
          <w:szCs w:val="20"/>
          <w:lang w:val="en-GB"/>
        </w:rPr>
      </w:pPr>
      <w:r w:rsidRPr="009E7731">
        <w:rPr>
          <w:rFonts w:ascii="Times" w:hAnsi="Times"/>
          <w:szCs w:val="20"/>
          <w:lang w:val="en-GB"/>
        </w:rPr>
        <w:t>–</w:t>
      </w:r>
      <w:r w:rsidRPr="009E7731">
        <w:rPr>
          <w:rFonts w:ascii="Times" w:hAnsi="Times"/>
          <w:szCs w:val="20"/>
          <w:lang w:val="en-GB"/>
        </w:rPr>
        <w:tab/>
      </w:r>
      <w:r w:rsidR="00776534" w:rsidRPr="009E7731">
        <w:rPr>
          <w:rFonts w:ascii="Times" w:hAnsi="Times"/>
          <w:szCs w:val="20"/>
          <w:lang w:val="en-GB"/>
        </w:rPr>
        <w:t xml:space="preserve">Control and groups of companies and enterprises. </w:t>
      </w:r>
    </w:p>
    <w:p w14:paraId="0FD0B018" w14:textId="562AFEC2" w:rsidR="0069772C" w:rsidRPr="009E7731" w:rsidRDefault="00C80338" w:rsidP="00E33361">
      <w:pPr>
        <w:spacing w:before="240" w:after="120"/>
        <w:rPr>
          <w:b/>
          <w:i/>
          <w:sz w:val="18"/>
          <w:lang w:val="en-GB"/>
        </w:rPr>
      </w:pPr>
      <w:r w:rsidRPr="009E7731">
        <w:rPr>
          <w:b/>
          <w:i/>
          <w:sz w:val="18"/>
          <w:lang w:val="en-GB"/>
        </w:rPr>
        <w:t>READING LIST</w:t>
      </w:r>
    </w:p>
    <w:p w14:paraId="5895FD6C" w14:textId="6663C064" w:rsidR="00F2583B" w:rsidRPr="009E7731" w:rsidRDefault="00707460" w:rsidP="00F2583B">
      <w:pPr>
        <w:pStyle w:val="Testo1"/>
        <w:rPr>
          <w:lang w:val="en-US"/>
        </w:rPr>
      </w:pPr>
      <w:r w:rsidRPr="009E7731">
        <w:rPr>
          <w:lang w:val="en-US"/>
        </w:rPr>
        <w:t xml:space="preserve">For exam preparation </w:t>
      </w:r>
      <w:r w:rsidR="00F2583B" w:rsidRPr="009E7731">
        <w:rPr>
          <w:lang w:val="en-US"/>
        </w:rPr>
        <w:t>(</w:t>
      </w:r>
      <w:r w:rsidRPr="009E7731">
        <w:rPr>
          <w:lang w:val="en-US"/>
        </w:rPr>
        <w:t>attending and non-attending students</w:t>
      </w:r>
      <w:r w:rsidR="00F2583B" w:rsidRPr="009E7731">
        <w:rPr>
          <w:lang w:val="en-US"/>
        </w:rPr>
        <w:t>):</w:t>
      </w:r>
    </w:p>
    <w:p w14:paraId="0D2804F5" w14:textId="77777777" w:rsidR="00F2583B" w:rsidRPr="009E7731" w:rsidRDefault="00F2583B" w:rsidP="00F2583B">
      <w:pPr>
        <w:pStyle w:val="Testo1"/>
      </w:pPr>
      <w:r w:rsidRPr="009E7731">
        <w:rPr>
          <w:smallCaps/>
          <w:sz w:val="16"/>
        </w:rPr>
        <w:t>V. Cariello</w:t>
      </w:r>
      <w:r w:rsidRPr="009E7731">
        <w:t xml:space="preserve">, </w:t>
      </w:r>
      <w:r w:rsidRPr="009E7731">
        <w:rPr>
          <w:i/>
          <w:iCs/>
        </w:rPr>
        <w:t>Paradigmi e linguaggi interpretativi. Il diritto societario tra “interpretazione” e “applicazione”: saggi di ermeneutica giuridica</w:t>
      </w:r>
      <w:r w:rsidRPr="009E7731">
        <w:t xml:space="preserve">, Giappichelli, 2022. </w:t>
      </w:r>
    </w:p>
    <w:p w14:paraId="73106F98" w14:textId="72FFBC96" w:rsidR="00F2583B" w:rsidRPr="009E7731" w:rsidRDefault="00707460" w:rsidP="00F2583B">
      <w:pPr>
        <w:pStyle w:val="Testo1"/>
        <w:rPr>
          <w:lang w:val="en-US"/>
        </w:rPr>
      </w:pPr>
      <w:r w:rsidRPr="009E7731">
        <w:rPr>
          <w:lang w:val="en-US"/>
        </w:rPr>
        <w:t>It should be noted that, through listening and inter</w:t>
      </w:r>
      <w:r w:rsidR="00F20039" w:rsidRPr="009E7731">
        <w:rPr>
          <w:lang w:val="en-US"/>
        </w:rPr>
        <w:t>action</w:t>
      </w:r>
      <w:r w:rsidRPr="009E7731">
        <w:rPr>
          <w:lang w:val="en-US"/>
        </w:rPr>
        <w:t xml:space="preserve"> in class, attending students will benefit from a path of explanation and “guidance” concerning the content of the textbook specified for the exam preparation</w:t>
      </w:r>
      <w:r w:rsidR="00F2583B" w:rsidRPr="009E7731">
        <w:rPr>
          <w:lang w:val="en-US"/>
        </w:rPr>
        <w:t xml:space="preserve">. </w:t>
      </w:r>
    </w:p>
    <w:p w14:paraId="2F810BF0" w14:textId="7073FC46" w:rsidR="0069772C" w:rsidRPr="009E7731" w:rsidRDefault="00C80338" w:rsidP="0069772C">
      <w:pPr>
        <w:spacing w:before="240" w:after="120"/>
        <w:rPr>
          <w:b/>
          <w:i/>
          <w:sz w:val="18"/>
          <w:lang w:val="en-GB"/>
        </w:rPr>
      </w:pPr>
      <w:r w:rsidRPr="009E7731">
        <w:rPr>
          <w:b/>
          <w:i/>
          <w:sz w:val="18"/>
          <w:lang w:val="en-GB"/>
        </w:rPr>
        <w:t>TEACHING METHOD</w:t>
      </w:r>
    </w:p>
    <w:p w14:paraId="553061C4" w14:textId="6482C763" w:rsidR="00510C73" w:rsidRPr="009E7731" w:rsidRDefault="00510C73" w:rsidP="00510C73">
      <w:pPr>
        <w:pStyle w:val="Testo2"/>
        <w:rPr>
          <w:noProof w:val="0"/>
          <w:lang w:val="en-GB"/>
        </w:rPr>
      </w:pPr>
      <w:r w:rsidRPr="009E7731">
        <w:rPr>
          <w:noProof w:val="0"/>
          <w:lang w:val="en-GB"/>
        </w:rPr>
        <w:t>The two parts of the course are held according to the so-called frontal lecture method, organi</w:t>
      </w:r>
      <w:r w:rsidR="002E15D3" w:rsidRPr="009E7731">
        <w:rPr>
          <w:noProof w:val="0"/>
          <w:lang w:val="en-GB"/>
        </w:rPr>
        <w:t>s</w:t>
      </w:r>
      <w:r w:rsidRPr="009E7731">
        <w:rPr>
          <w:noProof w:val="0"/>
          <w:lang w:val="en-GB"/>
        </w:rPr>
        <w:t>ed in such a way as to encourage students’ discussion and intervention.</w:t>
      </w:r>
    </w:p>
    <w:p w14:paraId="17E9BF57" w14:textId="212DEFE5" w:rsidR="00F2583B" w:rsidRPr="009E7731" w:rsidRDefault="004A14E0" w:rsidP="00F2583B">
      <w:pPr>
        <w:pStyle w:val="Testo2"/>
        <w:rPr>
          <w:u w:val="single"/>
          <w:lang w:val="en-US"/>
        </w:rPr>
      </w:pPr>
      <w:r w:rsidRPr="009E7731">
        <w:rPr>
          <w:u w:val="single"/>
          <w:lang w:val="en-US"/>
        </w:rPr>
        <w:t xml:space="preserve">With the appropriate adaptations imposed by the discipline, the course aims to </w:t>
      </w:r>
      <w:r w:rsidR="000C6945" w:rsidRPr="009E7731">
        <w:rPr>
          <w:u w:val="single"/>
          <w:lang w:val="en-US"/>
        </w:rPr>
        <w:t>make</w:t>
      </w:r>
      <w:r w:rsidRPr="009E7731">
        <w:rPr>
          <w:u w:val="single"/>
          <w:lang w:val="en-US"/>
        </w:rPr>
        <w:t xml:space="preserve"> the topicality of comparative commercial law </w:t>
      </w:r>
      <w:r w:rsidR="000C6945" w:rsidRPr="009E7731">
        <w:rPr>
          <w:u w:val="single"/>
          <w:lang w:val="en-US"/>
        </w:rPr>
        <w:t xml:space="preserve">transversal </w:t>
      </w:r>
      <w:r w:rsidRPr="009E7731">
        <w:rPr>
          <w:u w:val="single"/>
          <w:lang w:val="en-US"/>
        </w:rPr>
        <w:t>through the main theories of regulatory interpretation, providing students with the techniques for the interpretative use of comparative law in corporate law</w:t>
      </w:r>
      <w:r w:rsidR="00F2583B" w:rsidRPr="009E7731">
        <w:rPr>
          <w:u w:val="single"/>
          <w:lang w:val="en-US"/>
        </w:rPr>
        <w:t>.</w:t>
      </w:r>
    </w:p>
    <w:p w14:paraId="7D5E2553" w14:textId="77777777" w:rsidR="00F2583B" w:rsidRPr="009E7731" w:rsidRDefault="00F2583B" w:rsidP="00F2583B">
      <w:pPr>
        <w:pStyle w:val="Testo2"/>
        <w:rPr>
          <w:u w:val="single"/>
          <w:lang w:val="en-US"/>
        </w:rPr>
      </w:pPr>
    </w:p>
    <w:p w14:paraId="1FCACE40" w14:textId="14BB894F" w:rsidR="00F2583B" w:rsidRPr="009E7731" w:rsidRDefault="00E84DA4" w:rsidP="00F2583B">
      <w:pPr>
        <w:pStyle w:val="Testo2"/>
        <w:rPr>
          <w:lang w:val="en-US"/>
        </w:rPr>
      </w:pPr>
      <w:r w:rsidRPr="009E7731">
        <w:rPr>
          <w:lang w:val="en-US"/>
        </w:rPr>
        <w:t xml:space="preserve">The teaching methodology aims to replicate the general cultural approach of the courses at the </w:t>
      </w:r>
      <w:r w:rsidRPr="009E7731">
        <w:rPr>
          <w:i/>
          <w:iCs/>
          <w:lang w:val="en-US"/>
        </w:rPr>
        <w:t>Collège de France</w:t>
      </w:r>
      <w:r w:rsidR="00F2583B" w:rsidRPr="009E7731">
        <w:rPr>
          <w:i/>
          <w:iCs/>
          <w:lang w:val="en-US"/>
        </w:rPr>
        <w:t>.</w:t>
      </w:r>
    </w:p>
    <w:p w14:paraId="753EC552" w14:textId="5A76D07E" w:rsidR="0069772C" w:rsidRPr="009E7731" w:rsidRDefault="00C80338" w:rsidP="0069772C">
      <w:pPr>
        <w:spacing w:before="240" w:after="120"/>
        <w:rPr>
          <w:b/>
          <w:i/>
          <w:sz w:val="18"/>
          <w:lang w:val="en-GB"/>
        </w:rPr>
      </w:pPr>
      <w:r w:rsidRPr="009E7731">
        <w:rPr>
          <w:b/>
          <w:i/>
          <w:sz w:val="18"/>
          <w:lang w:val="en-GB"/>
        </w:rPr>
        <w:t>ASSESSMENT METHOD AND CRITERIA</w:t>
      </w:r>
    </w:p>
    <w:p w14:paraId="0424D24E" w14:textId="1F42526F" w:rsidR="0069772C" w:rsidRPr="009E7731" w:rsidRDefault="00510C73" w:rsidP="0069772C">
      <w:pPr>
        <w:pStyle w:val="Testo2"/>
        <w:rPr>
          <w:noProof w:val="0"/>
          <w:lang w:val="en-GB"/>
        </w:rPr>
      </w:pPr>
      <w:r w:rsidRPr="009E7731">
        <w:rPr>
          <w:noProof w:val="0"/>
          <w:lang w:val="en-GB"/>
        </w:rPr>
        <w:t xml:space="preserve">Oral exam. </w:t>
      </w:r>
      <w:r w:rsidR="002E15D3" w:rsidRPr="009E7731">
        <w:rPr>
          <w:noProof w:val="0"/>
          <w:lang w:val="en-GB"/>
        </w:rPr>
        <w:t>A</w:t>
      </w:r>
      <w:r w:rsidRPr="009E7731">
        <w:rPr>
          <w:noProof w:val="0"/>
          <w:lang w:val="en-GB"/>
        </w:rPr>
        <w:t xml:space="preserve">ssessment will be based on: </w:t>
      </w:r>
      <w:r w:rsidR="00067314" w:rsidRPr="009E7731">
        <w:rPr>
          <w:noProof w:val="0"/>
          <w:lang w:val="en-GB"/>
        </w:rPr>
        <w:t xml:space="preserve">students’ </w:t>
      </w:r>
      <w:r w:rsidRPr="009E7731">
        <w:rPr>
          <w:noProof w:val="0"/>
          <w:lang w:val="en-GB"/>
        </w:rPr>
        <w:t xml:space="preserve">critical </w:t>
      </w:r>
      <w:r w:rsidR="00DD7827" w:rsidRPr="009E7731">
        <w:rPr>
          <w:noProof w:val="0"/>
          <w:lang w:val="en-GB"/>
        </w:rPr>
        <w:t>acquisition</w:t>
      </w:r>
      <w:r w:rsidRPr="009E7731">
        <w:rPr>
          <w:noProof w:val="0"/>
          <w:lang w:val="en-GB"/>
        </w:rPr>
        <w:t xml:space="preserve"> of contents; the</w:t>
      </w:r>
      <w:r w:rsidR="00067314" w:rsidRPr="009E7731">
        <w:rPr>
          <w:noProof w:val="0"/>
          <w:lang w:val="en-GB"/>
        </w:rPr>
        <w:t>ir</w:t>
      </w:r>
      <w:r w:rsidRPr="009E7731">
        <w:rPr>
          <w:noProof w:val="0"/>
          <w:lang w:val="en-GB"/>
        </w:rPr>
        <w:t xml:space="preserve"> ability to </w:t>
      </w:r>
      <w:r w:rsidR="00DD7827" w:rsidRPr="009E7731">
        <w:rPr>
          <w:noProof w:val="0"/>
          <w:lang w:val="en-GB"/>
        </w:rPr>
        <w:t>relate</w:t>
      </w:r>
      <w:r w:rsidRPr="009E7731">
        <w:rPr>
          <w:noProof w:val="0"/>
          <w:lang w:val="en-GB"/>
        </w:rPr>
        <w:t xml:space="preserve"> the different parts of the course contents: presentation skills and command of language.</w:t>
      </w:r>
    </w:p>
    <w:p w14:paraId="4BFBFB70" w14:textId="2CCAB160" w:rsidR="00F2583B" w:rsidRPr="009E7731" w:rsidRDefault="00067314" w:rsidP="00F2583B">
      <w:pPr>
        <w:pStyle w:val="Testo2"/>
        <w:rPr>
          <w:lang w:val="en-US"/>
        </w:rPr>
      </w:pPr>
      <w:r w:rsidRPr="009E7731">
        <w:rPr>
          <w:noProof w:val="0"/>
          <w:lang w:val="en-GB"/>
        </w:rPr>
        <w:t>For</w:t>
      </w:r>
      <w:r w:rsidRPr="009E7731">
        <w:rPr>
          <w:i/>
          <w:iCs/>
          <w:noProof w:val="0"/>
          <w:lang w:val="en-GB"/>
        </w:rPr>
        <w:t xml:space="preserve"> attending students</w:t>
      </w:r>
      <w:r w:rsidR="00DD7827" w:rsidRPr="009E7731">
        <w:rPr>
          <w:i/>
          <w:iCs/>
          <w:noProof w:val="0"/>
          <w:lang w:val="en-GB"/>
        </w:rPr>
        <w:t>,</w:t>
      </w:r>
      <w:r w:rsidRPr="009E7731">
        <w:rPr>
          <w:noProof w:val="0"/>
          <w:lang w:val="en-GB"/>
        </w:rPr>
        <w:t xml:space="preserve"> the exam will be based on lecture notes</w:t>
      </w:r>
      <w:r w:rsidR="00F2583B" w:rsidRPr="009E7731">
        <w:rPr>
          <w:lang w:val="en-US"/>
        </w:rPr>
        <w:t xml:space="preserve">, </w:t>
      </w:r>
      <w:r w:rsidR="00E84DA4" w:rsidRPr="009E7731">
        <w:rPr>
          <w:lang w:val="en-US"/>
        </w:rPr>
        <w:t>amongst other</w:t>
      </w:r>
      <w:r w:rsidR="00F2583B" w:rsidRPr="009E7731">
        <w:rPr>
          <w:lang w:val="en-US"/>
        </w:rPr>
        <w:t xml:space="preserve"> (</w:t>
      </w:r>
      <w:r w:rsidR="00E84DA4" w:rsidRPr="009E7731">
        <w:rPr>
          <w:lang w:val="en-US"/>
        </w:rPr>
        <w:t>but not only</w:t>
      </w:r>
      <w:r w:rsidR="00F2583B" w:rsidRPr="009E7731">
        <w:rPr>
          <w:lang w:val="en-US"/>
        </w:rPr>
        <w:t xml:space="preserve">) </w:t>
      </w:r>
      <w:r w:rsidR="00E84DA4" w:rsidRPr="009E7731">
        <w:rPr>
          <w:lang w:val="en-US"/>
        </w:rPr>
        <w:t>which provide explanations of the “textbook”</w:t>
      </w:r>
      <w:r w:rsidR="00F2583B" w:rsidRPr="009E7731">
        <w:rPr>
          <w:lang w:val="en-US"/>
        </w:rPr>
        <w:t xml:space="preserve">. </w:t>
      </w:r>
    </w:p>
    <w:p w14:paraId="432EA58F" w14:textId="6D2E87D1" w:rsidR="00DD7827" w:rsidRPr="009E7731" w:rsidRDefault="00067314" w:rsidP="0069772C">
      <w:pPr>
        <w:pStyle w:val="Testo2"/>
        <w:rPr>
          <w:noProof w:val="0"/>
          <w:lang w:val="en-GB"/>
        </w:rPr>
      </w:pPr>
      <w:r w:rsidRPr="009E7731">
        <w:rPr>
          <w:i/>
          <w:iCs/>
          <w:noProof w:val="0"/>
          <w:lang w:val="en-GB"/>
        </w:rPr>
        <w:t>Non-attending students</w:t>
      </w:r>
      <w:r w:rsidRPr="009E7731">
        <w:rPr>
          <w:noProof w:val="0"/>
          <w:lang w:val="en-GB"/>
        </w:rPr>
        <w:t xml:space="preserve"> are required to prepare the exam on the </w:t>
      </w:r>
      <w:r w:rsidR="00F2583B" w:rsidRPr="009E7731">
        <w:rPr>
          <w:noProof w:val="0"/>
          <w:lang w:val="en-GB"/>
        </w:rPr>
        <w:t xml:space="preserve">indicated </w:t>
      </w:r>
      <w:r w:rsidRPr="009E7731">
        <w:rPr>
          <w:noProof w:val="0"/>
          <w:lang w:val="en-GB"/>
        </w:rPr>
        <w:t>textbook</w:t>
      </w:r>
      <w:r w:rsidR="005616A2" w:rsidRPr="009E7731">
        <w:rPr>
          <w:noProof w:val="0"/>
          <w:lang w:val="en-GB"/>
        </w:rPr>
        <w:t>.</w:t>
      </w:r>
      <w:r w:rsidRPr="009E7731">
        <w:rPr>
          <w:strike/>
          <w:noProof w:val="0"/>
          <w:color w:val="FF0000"/>
          <w:lang w:val="en-GB"/>
        </w:rPr>
        <w:t xml:space="preserve"> </w:t>
      </w:r>
    </w:p>
    <w:p w14:paraId="0D0804EF" w14:textId="1FDD525A" w:rsidR="0069772C" w:rsidRPr="009E7731" w:rsidRDefault="00C80338" w:rsidP="0069772C">
      <w:pPr>
        <w:spacing w:before="240" w:after="120" w:line="240" w:lineRule="exact"/>
        <w:rPr>
          <w:b/>
          <w:i/>
          <w:sz w:val="18"/>
          <w:lang w:val="en-GB"/>
        </w:rPr>
      </w:pPr>
      <w:r w:rsidRPr="009E7731">
        <w:rPr>
          <w:b/>
          <w:i/>
          <w:sz w:val="18"/>
          <w:lang w:val="en-GB"/>
        </w:rPr>
        <w:t>NOTES AND PREREQUISITES</w:t>
      </w:r>
    </w:p>
    <w:p w14:paraId="07B20378" w14:textId="00C3BAEE" w:rsidR="0069772C" w:rsidRPr="009E7731" w:rsidRDefault="00F11BC0" w:rsidP="002E15D3">
      <w:pPr>
        <w:pStyle w:val="Testo2"/>
        <w:rPr>
          <w:noProof w:val="0"/>
          <w:lang w:val="en-GB"/>
        </w:rPr>
      </w:pPr>
      <w:r w:rsidRPr="009E7731">
        <w:rPr>
          <w:noProof w:val="0"/>
          <w:lang w:val="en-GB"/>
        </w:rPr>
        <w:t>D</w:t>
      </w:r>
      <w:r w:rsidR="00067314" w:rsidRPr="009E7731">
        <w:rPr>
          <w:noProof w:val="0"/>
          <w:lang w:val="en-GB"/>
        </w:rPr>
        <w:t>ue to the characteristics of the subject and the teaching approach chosen by the lecturer</w:t>
      </w:r>
      <w:r w:rsidRPr="009E7731">
        <w:rPr>
          <w:noProof w:val="0"/>
          <w:lang w:val="en-GB"/>
        </w:rPr>
        <w:t xml:space="preserve"> students’ attendance is recommended</w:t>
      </w:r>
      <w:r w:rsidR="00067314" w:rsidRPr="009E7731">
        <w:rPr>
          <w:noProof w:val="0"/>
          <w:lang w:val="en-GB"/>
        </w:rPr>
        <w:t xml:space="preserve">; students are also expected to have passed the Commercial Law 1 exam.  </w:t>
      </w:r>
    </w:p>
    <w:p w14:paraId="75531C0F" w14:textId="2D93BF82" w:rsidR="00C80338" w:rsidRPr="009E7731" w:rsidRDefault="002E15D3" w:rsidP="00C32977">
      <w:pPr>
        <w:pStyle w:val="Testo2"/>
        <w:rPr>
          <w:noProof w:val="0"/>
          <w:lang w:val="en-GB"/>
        </w:rPr>
      </w:pPr>
      <w:r w:rsidRPr="009E7731">
        <w:rPr>
          <w:noProof w:val="0"/>
          <w:lang w:val="en-GB"/>
        </w:rPr>
        <w:lastRenderedPageBreak/>
        <w:t>A</w:t>
      </w:r>
      <w:r w:rsidR="00067314" w:rsidRPr="009E7731">
        <w:rPr>
          <w:noProof w:val="0"/>
          <w:lang w:val="en-GB"/>
        </w:rPr>
        <w:t>ssignment of thesis papers requires a good knowledge of at least one foreign language, previous course attendance, and a</w:t>
      </w:r>
      <w:r w:rsidR="005C1356" w:rsidRPr="009E7731">
        <w:rPr>
          <w:noProof w:val="0"/>
          <w:lang w:val="en-GB"/>
        </w:rPr>
        <w:t xml:space="preserve">n aptitude for </w:t>
      </w:r>
      <w:r w:rsidR="00067314" w:rsidRPr="009E7731">
        <w:rPr>
          <w:noProof w:val="0"/>
          <w:lang w:val="en-GB"/>
        </w:rPr>
        <w:t xml:space="preserve">critical </w:t>
      </w:r>
      <w:r w:rsidR="005C1356" w:rsidRPr="009E7731">
        <w:rPr>
          <w:noProof w:val="0"/>
          <w:lang w:val="en-GB"/>
        </w:rPr>
        <w:t>thinking</w:t>
      </w:r>
      <w:r w:rsidR="00067314" w:rsidRPr="009E7731">
        <w:rPr>
          <w:noProof w:val="0"/>
          <w:lang w:val="en-GB"/>
        </w:rPr>
        <w:t xml:space="preserve">. </w:t>
      </w:r>
      <w:r w:rsidR="005C1356" w:rsidRPr="009E7731">
        <w:rPr>
          <w:noProof w:val="0"/>
          <w:lang w:val="en-GB"/>
        </w:rPr>
        <w:t xml:space="preserve">Thesis work may be </w:t>
      </w:r>
      <w:r w:rsidR="00067314" w:rsidRPr="009E7731">
        <w:rPr>
          <w:noProof w:val="0"/>
          <w:lang w:val="en-GB"/>
        </w:rPr>
        <w:t>prepare</w:t>
      </w:r>
      <w:r w:rsidR="005C1356" w:rsidRPr="009E7731">
        <w:rPr>
          <w:noProof w:val="0"/>
          <w:lang w:val="en-GB"/>
        </w:rPr>
        <w:t xml:space="preserve">d </w:t>
      </w:r>
      <w:r w:rsidR="00067314" w:rsidRPr="009E7731">
        <w:rPr>
          <w:noProof w:val="0"/>
          <w:lang w:val="en-GB"/>
        </w:rPr>
        <w:t xml:space="preserve">in one of the following languages: Italian, English, German, and French. Attending a foreign university is recommended for the preparation of so-called experimental theses. </w:t>
      </w:r>
    </w:p>
    <w:p w14:paraId="3F6FC3F4" w14:textId="77777777" w:rsidR="00C93628" w:rsidRPr="009E7731" w:rsidRDefault="00C93628" w:rsidP="00C93628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bookmarkStart w:id="2" w:name="_Hlk18839278"/>
      <w:r w:rsidRPr="009E7731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3584EB51" w14:textId="24CD3911" w:rsidR="0069772C" w:rsidRPr="00CA5DE0" w:rsidRDefault="00B56BA7" w:rsidP="007D710B">
      <w:pPr>
        <w:pStyle w:val="Testo2"/>
        <w:rPr>
          <w:noProof w:val="0"/>
          <w:lang w:val="en-GB"/>
        </w:rPr>
      </w:pPr>
      <w:r w:rsidRPr="009E7731">
        <w:rPr>
          <w:lang w:val="en-GB"/>
        </w:rPr>
        <w:t>Further information can be found on the lecturer's webpage at http://docenti.unicatt.it/web/searchByName.do?language=ENG or on the Faculty notice board.</w:t>
      </w:r>
      <w:bookmarkEnd w:id="2"/>
    </w:p>
    <w:sectPr w:rsidR="0069772C" w:rsidRPr="00CA5D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84"/>
    <w:rsid w:val="00026B0F"/>
    <w:rsid w:val="00067314"/>
    <w:rsid w:val="00091582"/>
    <w:rsid w:val="000C6945"/>
    <w:rsid w:val="001859A8"/>
    <w:rsid w:val="00187B99"/>
    <w:rsid w:val="002014DD"/>
    <w:rsid w:val="00282636"/>
    <w:rsid w:val="002D5E17"/>
    <w:rsid w:val="002E15D3"/>
    <w:rsid w:val="00315B12"/>
    <w:rsid w:val="00317084"/>
    <w:rsid w:val="003E1D0F"/>
    <w:rsid w:val="003E6F5A"/>
    <w:rsid w:val="004A14E0"/>
    <w:rsid w:val="004D1217"/>
    <w:rsid w:val="004D6008"/>
    <w:rsid w:val="00510C73"/>
    <w:rsid w:val="005616A2"/>
    <w:rsid w:val="005C1356"/>
    <w:rsid w:val="00640794"/>
    <w:rsid w:val="0069772C"/>
    <w:rsid w:val="006A3CCE"/>
    <w:rsid w:val="006F1772"/>
    <w:rsid w:val="00707460"/>
    <w:rsid w:val="00713F0E"/>
    <w:rsid w:val="007610D2"/>
    <w:rsid w:val="00776534"/>
    <w:rsid w:val="007D710B"/>
    <w:rsid w:val="007F3B28"/>
    <w:rsid w:val="008942E7"/>
    <w:rsid w:val="008A1204"/>
    <w:rsid w:val="008E43F3"/>
    <w:rsid w:val="00900CCA"/>
    <w:rsid w:val="00924B77"/>
    <w:rsid w:val="00940DA2"/>
    <w:rsid w:val="009E055C"/>
    <w:rsid w:val="009E7731"/>
    <w:rsid w:val="00A53724"/>
    <w:rsid w:val="00A74F6F"/>
    <w:rsid w:val="00A8100D"/>
    <w:rsid w:val="00A84218"/>
    <w:rsid w:val="00AD7557"/>
    <w:rsid w:val="00B50C5D"/>
    <w:rsid w:val="00B51253"/>
    <w:rsid w:val="00B525CC"/>
    <w:rsid w:val="00B56BA7"/>
    <w:rsid w:val="00C32977"/>
    <w:rsid w:val="00C80338"/>
    <w:rsid w:val="00C87160"/>
    <w:rsid w:val="00C93628"/>
    <w:rsid w:val="00CA5DE0"/>
    <w:rsid w:val="00D404F2"/>
    <w:rsid w:val="00DA49B9"/>
    <w:rsid w:val="00DC2086"/>
    <w:rsid w:val="00DD7827"/>
    <w:rsid w:val="00E31571"/>
    <w:rsid w:val="00E33361"/>
    <w:rsid w:val="00E52F4A"/>
    <w:rsid w:val="00E607E6"/>
    <w:rsid w:val="00E84DA4"/>
    <w:rsid w:val="00ED33B8"/>
    <w:rsid w:val="00F11BC0"/>
    <w:rsid w:val="00F20039"/>
    <w:rsid w:val="00F2583B"/>
    <w:rsid w:val="00F3515A"/>
    <w:rsid w:val="00FB313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2515A"/>
  <w15:chartTrackingRefBased/>
  <w15:docId w15:val="{94D4B53E-1EB2-4EE3-B5FF-C134ED69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69772C"/>
    <w:rPr>
      <w:color w:val="0563C1" w:themeColor="hyperlink"/>
      <w:u w:val="single"/>
    </w:rPr>
  </w:style>
  <w:style w:type="paragraph" w:customStyle="1" w:styleId="Nessunaspaziatura1">
    <w:name w:val="Nessuna spaziatura1"/>
    <w:uiPriority w:val="1"/>
    <w:qFormat/>
    <w:rsid w:val="0069772C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E929-A0C9-4D8E-968C-6AB1A2B8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3</Pages>
  <Words>689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8</cp:revision>
  <cp:lastPrinted>2003-03-27T10:42:00Z</cp:lastPrinted>
  <dcterms:created xsi:type="dcterms:W3CDTF">2022-09-02T13:59:00Z</dcterms:created>
  <dcterms:modified xsi:type="dcterms:W3CDTF">2023-01-16T08:27:00Z</dcterms:modified>
</cp:coreProperties>
</file>