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864D" w14:textId="60B58BDA" w:rsidR="00922F48" w:rsidRPr="00F726DE" w:rsidRDefault="00584CC2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 xml:space="preserve">Business </w:t>
      </w:r>
      <w:r w:rsidR="00DC2A14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C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risi</w:t>
      </w:r>
      <w:r w:rsid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s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L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aw</w:t>
      </w:r>
    </w:p>
    <w:p w14:paraId="32BF6C32" w14:textId="72DF8406" w:rsidR="00922F48" w:rsidRPr="00F726DE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</w:pPr>
      <w:r w:rsidRPr="00F726DE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Prof. Amedeo Valzer</w:t>
      </w:r>
    </w:p>
    <w:p w14:paraId="0E8342F0" w14:textId="16E77573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14:paraId="5CABA9D5" w14:textId="6D045C30" w:rsidR="0012352C" w:rsidRPr="003E6895" w:rsidRDefault="00F726DE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The course aims to explore the legal framework on business crisis management</w:t>
      </w:r>
      <w:r w:rsidR="00DB55E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. 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 particular, it aims to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introduce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– from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a theoretical and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practical perspective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–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the institutions that are responsible for the identification and prevention of business crisis</w:t>
      </w:r>
      <w:r w:rsidR="00C10CC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, and analyse the collective procedures aimed at conservation or liquidation. Furthermore, the course aims to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illustrate</w:t>
      </w:r>
      <w:r w:rsidR="00C10CC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procedures reserved for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economic operators other than commercial firms.</w:t>
      </w:r>
    </w:p>
    <w:p w14:paraId="409F3682" w14:textId="41D19876" w:rsidR="0012352C" w:rsidRPr="003E6895" w:rsidRDefault="003E6895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3E6895">
        <w:rPr>
          <w:rFonts w:ascii="Times" w:eastAsia="Times New Roman" w:hAnsi="Times" w:cs="Times New Roman"/>
          <w:sz w:val="20"/>
          <w:szCs w:val="20"/>
          <w:lang w:val="en-GB" w:eastAsia="it-IT"/>
        </w:rPr>
        <w:t>At the end of the course, students will be able to</w:t>
      </w:r>
      <w:r w:rsidR="0012352C" w:rsidRPr="003E6895">
        <w:rPr>
          <w:rFonts w:ascii="Times" w:eastAsia="Times New Roman" w:hAnsi="Times" w:cs="Times New Roman"/>
          <w:sz w:val="20"/>
          <w:szCs w:val="20"/>
          <w:lang w:val="en-GB" w:eastAsia="it-IT"/>
        </w:rPr>
        <w:t>:</w:t>
      </w:r>
    </w:p>
    <w:p w14:paraId="36FAE2CF" w14:textId="1CB2A6B7" w:rsidR="0012352C" w:rsidRPr="00DC2A14" w:rsidRDefault="0012352C" w:rsidP="003E6895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1.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identify the functions and the </w:t>
      </w:r>
      <w:r w:rsidR="00556A7D">
        <w:rPr>
          <w:rFonts w:ascii="Times" w:eastAsia="Times New Roman" w:hAnsi="Times" w:cs="Times New Roman"/>
          <w:sz w:val="20"/>
          <w:szCs w:val="20"/>
          <w:lang w:val="en-GB" w:eastAsia="it-IT"/>
        </w:rPr>
        <w:t>objectives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of the procedures analysed during the course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51DBE0E9" w14:textId="186CAD0B" w:rsidR="0012352C" w:rsidRPr="00DC2A14" w:rsidRDefault="0012352C" w:rsidP="003E6895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2.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>a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pply the competences</w:t>
      </w:r>
      <w:r w:rsidR="00DC2A14" w:rsidRP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acquired following 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professional approach aimed to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debate and 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solve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collective low issues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7B502FF2" w14:textId="1C372F54" w:rsidR="0012352C" w:rsidRPr="00DC2A14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3.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make judgments and assessments based on information –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also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when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incomplete – and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integrate their knowledge with relevant legislation, case law, and legal practices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4E4C46EE" w14:textId="085CC28D" w:rsidR="0012352C" w:rsidRPr="00DC2A14" w:rsidRDefault="0012352C" w:rsidP="00C940F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4.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clearly express their point of view in front of specialists and non-specialists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5F4A0794" w14:textId="3A5EE3C1" w:rsidR="0012352C" w:rsidRPr="00DC2A14" w:rsidRDefault="0012352C" w:rsidP="00C940F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5.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outline the critical issues that may arise from business crisis management, and take all the required actions with a high degree of autonomy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3611A0EB" w14:textId="147DB8A5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CONTENT</w:t>
      </w:r>
    </w:p>
    <w:p w14:paraId="5D571D47" w14:textId="42A0FCF2" w:rsidR="0012352C" w:rsidRPr="00F726DE" w:rsidRDefault="0012352C" w:rsidP="00556A7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1. </w:t>
      </w:r>
      <w:r w:rsidR="00556A7D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The concept of crisis requiring legal action</w:t>
      </w: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. 2. </w:t>
      </w:r>
      <w:r w:rsidR="00DB55E8" w:rsidRPr="00DB55E8">
        <w:rPr>
          <w:rFonts w:ascii="Times" w:eastAsia="Times New Roman" w:hAnsi="Times" w:cs="Times New Roman"/>
          <w:sz w:val="20"/>
          <w:szCs w:val="20"/>
          <w:lang w:eastAsia="it-IT"/>
        </w:rPr>
        <w:t>The negotiated settlement of the business crisis</w:t>
      </w:r>
      <w:r w:rsidR="00DB55E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  <w:r w:rsidR="00580825" w:rsidRPr="0058082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3. </w:t>
      </w:r>
      <w:r w:rsidR="00556A7D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Out-of-court agreements and recovery plans. 4.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R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estructuring agreements (proposal and effects). 5.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A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ccess to collective procedures (application; judicial office; effects). 6. The company voluntary arrangement (proposal; administration; effects; creditors’ vote; homologation; execution; resolution and invalidation). 7.</w:t>
      </w:r>
      <w:r w:rsid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DB55E8">
        <w:rPr>
          <w:rFonts w:ascii="Times" w:eastAsia="Times New Roman" w:hAnsi="Times" w:cs="Times New Roman"/>
          <w:sz w:val="20"/>
          <w:szCs w:val="20"/>
          <w:lang w:val="en-GB" w:eastAsia="it-IT"/>
        </w:rPr>
        <w:t>B</w:t>
      </w:r>
      <w:r w:rsidR="00DB55E8" w:rsidRPr="00DB55E8">
        <w:rPr>
          <w:rFonts w:ascii="Times" w:eastAsia="Times New Roman" w:hAnsi="Times" w:cs="Times New Roman"/>
          <w:sz w:val="20"/>
          <w:szCs w:val="20"/>
          <w:lang w:val="en-GB" w:eastAsia="it-IT"/>
        </w:rPr>
        <w:t>ankruptcy</w:t>
      </w:r>
      <w:r w:rsidR="00580825">
        <w:rPr>
          <w:rFonts w:ascii="Times" w:eastAsia="Times New Roman" w:hAnsi="Times" w:cs="Times New Roman"/>
          <w:sz w:val="20"/>
          <w:szCs w:val="20"/>
          <w:lang w:val="en-GB" w:eastAsia="it-IT"/>
        </w:rPr>
        <w:t>/</w:t>
      </w:r>
      <w:r w:rsidR="00365B3B">
        <w:rPr>
          <w:rFonts w:ascii="Times" w:eastAsia="Times New Roman" w:hAnsi="Times" w:cs="Times New Roman"/>
          <w:sz w:val="20"/>
          <w:szCs w:val="20"/>
          <w:lang w:val="en-GB" w:eastAsia="it-IT"/>
        </w:rPr>
        <w:t>Judicial liquidation (the role played by the curator; effects;</w:t>
      </w:r>
      <w:r w:rsidR="00365B3B" w:rsidRP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net worth </w:t>
      </w:r>
      <w:r w:rsid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and its reconstruction; </w:t>
      </w:r>
      <w:r w:rsidR="0090477D">
        <w:rPr>
          <w:rFonts w:ascii="Times" w:eastAsia="Times New Roman" w:hAnsi="Times" w:cs="Times New Roman"/>
          <w:sz w:val="20"/>
          <w:szCs w:val="20"/>
          <w:lang w:val="en-GB" w:eastAsia="it-IT"/>
        </w:rPr>
        <w:t>liabilities; liquidation; closure of the procedure). 8. Settlement procedures for over-indebtedness cris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e</w:t>
      </w:r>
      <w:r w:rsidR="0090477D">
        <w:rPr>
          <w:rFonts w:ascii="Times" w:eastAsia="Times New Roman" w:hAnsi="Times" w:cs="Times New Roman"/>
          <w:sz w:val="20"/>
          <w:szCs w:val="20"/>
          <w:lang w:val="en-GB" w:eastAsia="it-IT"/>
        </w:rPr>
        <w:t>s (an introduction)</w:t>
      </w:r>
      <w:r w:rsidRPr="00F726DE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.</w:t>
      </w:r>
    </w:p>
    <w:p w14:paraId="720B18B0" w14:textId="3553CC58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READING LIST</w:t>
      </w:r>
    </w:p>
    <w:p w14:paraId="2EBF075B" w14:textId="27E3C98B" w:rsidR="0012352C" w:rsidRPr="00F726DE" w:rsidRDefault="0090477D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>Relevant legislation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: </w:t>
      </w:r>
    </w:p>
    <w:p w14:paraId="718A0BCB" w14:textId="4897412D" w:rsidR="0012352C" w:rsidRPr="00F726DE" w:rsidRDefault="0090477D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The Crisis and Insolvency Code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(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legislative decree of 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12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January 2019, n. 14), the Bankruptcy Law </w:t>
      </w:r>
      <w:r w:rsidR="008C547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(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royal decree of </w:t>
      </w:r>
      <w:r w:rsidR="008C547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16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March</w:t>
      </w:r>
      <w:r w:rsidR="008C547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1942, n. 267),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and all the additional laws indicated in class or listed in the textbooks below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.</w:t>
      </w:r>
    </w:p>
    <w:p w14:paraId="57F34D80" w14:textId="720F0399" w:rsidR="0012352C" w:rsidRPr="00DC2A14" w:rsidRDefault="0090477D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DC2A14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Textbook of reference</w:t>
      </w:r>
      <w:r w:rsidR="0012352C" w:rsidRPr="00DC2A14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6DAD1C37" w14:textId="77777777" w:rsidR="00580825" w:rsidRPr="0012352C" w:rsidRDefault="00580825" w:rsidP="00580825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5C597F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lastRenderedPageBreak/>
        <w:t>Aa. Vv.,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</w:t>
      </w:r>
      <w:r w:rsidRPr="005C597F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Diritto commerciale.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II.</w:t>
      </w:r>
      <w:r w:rsidRPr="005C597F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Diritto della crisi d'impresa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, a cura di Marco Cian, Giappichelli, Torino, 2018.</w:t>
      </w:r>
    </w:p>
    <w:p w14:paraId="57A46479" w14:textId="6C41EE46" w:rsidR="0012352C" w:rsidRPr="00F726DE" w:rsidRDefault="0090477D" w:rsidP="0090477D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</w:pPr>
      <w:r w:rsidRPr="0090477D"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>Further information will be made available</w:t>
      </w:r>
      <w:r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 xml:space="preserve"> in class, on the lecturer’s webpage, and on Blackboard</w:t>
      </w:r>
      <w:r w:rsidR="0012352C" w:rsidRPr="00F726DE"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>.</w:t>
      </w:r>
    </w:p>
    <w:p w14:paraId="58AF647A" w14:textId="3012DEF4" w:rsidR="0012352C" w:rsidRPr="00DC2A14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</w:pPr>
      <w:r w:rsidRPr="00DC2A14"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  <w:t>TEACHING METHOD</w:t>
      </w:r>
    </w:p>
    <w:p w14:paraId="5BAE7316" w14:textId="38AF4E5A" w:rsidR="0012352C" w:rsidRPr="00DC2A14" w:rsidRDefault="0090477D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</w:pPr>
      <w:r w:rsidRPr="00DC2A14"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  <w:t>Frontal lectures</w:t>
      </w:r>
      <w:r w:rsidR="0012352C" w:rsidRPr="00DC2A14"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  <w:t xml:space="preserve">. </w:t>
      </w:r>
    </w:p>
    <w:p w14:paraId="4E81F9DE" w14:textId="2C5AC6A1" w:rsidR="0012352C" w:rsidRPr="00DC2A14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</w:pPr>
      <w:r w:rsidRPr="00DC2A14"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  <w:t>ASSESSMENT METHOD AND CRITERIA</w:t>
      </w:r>
    </w:p>
    <w:p w14:paraId="6B5BA28C" w14:textId="3D15FF6A" w:rsidR="0012352C" w:rsidRPr="00F726DE" w:rsidRDefault="0090477D" w:rsidP="007D2938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Oral exam,</w:t>
      </w:r>
      <w:r w:rsidRPr="0090477D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 aimed to assess the achievement of the learning outcomes mentioned above</w:t>
      </w:r>
      <w:r w:rsidR="007D2938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, and consisting in three questions on the different parts of the course syllabus. Assessment criteria: knowledge of the topics explained during the course (up to 18 points); ability to use argumentation and critical thinking skills, and find connections between the different topics presented in class (up to 7 points); use of appropriate terminology (up to 5 points). There will be </w:t>
      </w:r>
      <w:r w:rsidR="00DC2A14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no</w:t>
      </w:r>
      <w:r w:rsidR="007D2938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 interim test</w:t>
      </w:r>
      <w:r w:rsidR="0012352C" w:rsidRPr="00F726DE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.</w:t>
      </w:r>
    </w:p>
    <w:p w14:paraId="3577BA17" w14:textId="621CD0D4" w:rsidR="0012352C" w:rsidRPr="00F726DE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NOTES AND PREREQUISITES</w:t>
      </w:r>
    </w:p>
    <w:p w14:paraId="4D2AC71E" w14:textId="04283C30" w:rsidR="00544A84" w:rsidRPr="007D2938" w:rsidRDefault="007D2938" w:rsidP="00512C7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Class attendance is strongly recommended</w:t>
      </w:r>
      <w:r w:rsidR="0012352C"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. </w:t>
      </w:r>
      <w:r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In addition, students are invited to attend this course only after having passed the Commercial Law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exam</w:t>
      </w:r>
      <w:r w:rsidR="0012352C"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.</w:t>
      </w:r>
    </w:p>
    <w:p w14:paraId="7C951FD4" w14:textId="7B128170" w:rsidR="008C547C" w:rsidRPr="00F726DE" w:rsidRDefault="00584CC2" w:rsidP="00584CC2">
      <w:pPr>
        <w:pStyle w:val="Testo2"/>
        <w:rPr>
          <w:noProof w:val="0"/>
          <w:lang w:val="en-GB"/>
        </w:rPr>
      </w:pPr>
      <w:r w:rsidRPr="00F726DE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8C547C" w:rsidRPr="00F726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8AF" w14:textId="77777777" w:rsidR="00C81E98" w:rsidRDefault="00C81E98" w:rsidP="0012352C">
      <w:pPr>
        <w:spacing w:after="0" w:line="240" w:lineRule="auto"/>
      </w:pPr>
      <w:r>
        <w:separator/>
      </w:r>
    </w:p>
  </w:endnote>
  <w:endnote w:type="continuationSeparator" w:id="0">
    <w:p w14:paraId="6A0013E1" w14:textId="77777777" w:rsidR="00C81E98" w:rsidRDefault="00C81E98" w:rsidP="001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06E7" w14:textId="77777777" w:rsidR="00C81E98" w:rsidRDefault="00C81E98" w:rsidP="0012352C">
      <w:pPr>
        <w:spacing w:after="0" w:line="240" w:lineRule="auto"/>
      </w:pPr>
      <w:r>
        <w:separator/>
      </w:r>
    </w:p>
  </w:footnote>
  <w:footnote w:type="continuationSeparator" w:id="0">
    <w:p w14:paraId="6D1FCACD" w14:textId="77777777" w:rsidR="00C81E98" w:rsidRDefault="00C81E98" w:rsidP="0012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5"/>
    <w:multiLevelType w:val="hybridMultilevel"/>
    <w:tmpl w:val="8E8ABD2A"/>
    <w:lvl w:ilvl="0" w:tplc="70C49E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2C"/>
    <w:rsid w:val="000F66C1"/>
    <w:rsid w:val="0012352C"/>
    <w:rsid w:val="00300F11"/>
    <w:rsid w:val="00351849"/>
    <w:rsid w:val="00365B3B"/>
    <w:rsid w:val="003707F6"/>
    <w:rsid w:val="003E6895"/>
    <w:rsid w:val="004C5DC0"/>
    <w:rsid w:val="004E4239"/>
    <w:rsid w:val="00512C7C"/>
    <w:rsid w:val="00544A84"/>
    <w:rsid w:val="00556A7D"/>
    <w:rsid w:val="00563E46"/>
    <w:rsid w:val="00580825"/>
    <w:rsid w:val="00584CC2"/>
    <w:rsid w:val="00667B7F"/>
    <w:rsid w:val="00722A44"/>
    <w:rsid w:val="007A069D"/>
    <w:rsid w:val="007D2938"/>
    <w:rsid w:val="00841893"/>
    <w:rsid w:val="008C547C"/>
    <w:rsid w:val="0090477D"/>
    <w:rsid w:val="00922F48"/>
    <w:rsid w:val="00951CCC"/>
    <w:rsid w:val="009C5921"/>
    <w:rsid w:val="009D3904"/>
    <w:rsid w:val="00AF1DDF"/>
    <w:rsid w:val="00B17CD5"/>
    <w:rsid w:val="00C10CC1"/>
    <w:rsid w:val="00C81E98"/>
    <w:rsid w:val="00C940FF"/>
    <w:rsid w:val="00CA2C57"/>
    <w:rsid w:val="00CF0F44"/>
    <w:rsid w:val="00DB55E8"/>
    <w:rsid w:val="00DC2A14"/>
    <w:rsid w:val="00F726DE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250"/>
  <w15:chartTrackingRefBased/>
  <w15:docId w15:val="{5F3ACDB1-5ACB-44E5-A3EB-77E1340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Valzer</dc:creator>
  <cp:keywords/>
  <dc:description/>
  <cp:lastModifiedBy>Bisello Stefano</cp:lastModifiedBy>
  <cp:revision>4</cp:revision>
  <dcterms:created xsi:type="dcterms:W3CDTF">2022-07-06T12:05:00Z</dcterms:created>
  <dcterms:modified xsi:type="dcterms:W3CDTF">2022-12-05T09:50:00Z</dcterms:modified>
</cp:coreProperties>
</file>