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475F" w14:textId="675FF0B9" w:rsidR="007D3A5C" w:rsidRPr="000C0F8F" w:rsidRDefault="007D3A5C" w:rsidP="007D3A5C">
      <w:pPr>
        <w:tabs>
          <w:tab w:val="clear" w:pos="284"/>
        </w:tabs>
        <w:spacing w:before="480"/>
        <w:jc w:val="left"/>
        <w:outlineLvl w:val="0"/>
        <w:rPr>
          <w:rFonts w:ascii="Times" w:hAnsi="Times"/>
          <w:b/>
          <w:szCs w:val="20"/>
          <w:lang w:val="it-IT"/>
        </w:rPr>
      </w:pPr>
      <w:proofErr w:type="spellStart"/>
      <w:r w:rsidRPr="000C0F8F">
        <w:rPr>
          <w:rFonts w:ascii="Times" w:hAnsi="Times"/>
          <w:b/>
          <w:szCs w:val="20"/>
          <w:lang w:val="it-IT"/>
        </w:rPr>
        <w:t>Demograph</w:t>
      </w:r>
      <w:r w:rsidR="00B22DDB">
        <w:rPr>
          <w:rFonts w:ascii="Times" w:hAnsi="Times"/>
          <w:b/>
          <w:szCs w:val="20"/>
          <w:lang w:val="it-IT"/>
        </w:rPr>
        <w:t>y</w:t>
      </w:r>
      <w:proofErr w:type="spellEnd"/>
    </w:p>
    <w:p w14:paraId="1091A286" w14:textId="0D99B9F3" w:rsidR="00AE7B05" w:rsidRPr="00B22DDB" w:rsidRDefault="00D923B2" w:rsidP="002159C6">
      <w:pPr>
        <w:pStyle w:val="Titolo2"/>
        <w:rPr>
          <w:noProof w:val="0"/>
          <w:lang w:val="it-IT"/>
        </w:rPr>
      </w:pPr>
      <w:r w:rsidRPr="000C0F8F">
        <w:rPr>
          <w:lang w:val="it-IT"/>
        </w:rPr>
        <w:t xml:space="preserve">Prof. Francesca Luppi; Prof. </w:t>
      </w:r>
      <w:r w:rsidRPr="00B22DDB">
        <w:rPr>
          <w:lang w:val="it-IT"/>
        </w:rPr>
        <w:t>Andrea Furcht</w:t>
      </w:r>
    </w:p>
    <w:p w14:paraId="27F5DCE7" w14:textId="0723AFB4" w:rsidR="00AE7B05" w:rsidRPr="000C0F8F" w:rsidRDefault="00AE7B05" w:rsidP="002159C6">
      <w:pPr>
        <w:spacing w:before="240" w:after="120" w:line="240" w:lineRule="exact"/>
      </w:pPr>
      <w:r w:rsidRPr="000C0F8F">
        <w:rPr>
          <w:b/>
          <w:i/>
          <w:sz w:val="18"/>
        </w:rPr>
        <w:t>COURSE AIMS AND INTENDED LEARNING OUTCOMES</w:t>
      </w:r>
      <w:r w:rsidRPr="000C0F8F">
        <w:t xml:space="preserve"> </w:t>
      </w:r>
    </w:p>
    <w:p w14:paraId="2EEE8D14" w14:textId="5FF42AEB" w:rsidR="00B42874" w:rsidRPr="000C0F8F" w:rsidRDefault="00DA21B8" w:rsidP="00B42874">
      <w:pPr>
        <w:spacing w:line="240" w:lineRule="exact"/>
      </w:pPr>
      <w:r w:rsidRPr="000C0F8F">
        <w:t>The course aims to introduce conceptual and technical tools for descriptive analysis of the population in its structural and dynamic features and for interpreting results of in-depth studies. Primarily in the second part, the course will take a multidisciplinary approach to the topic</w:t>
      </w:r>
      <w:r w:rsidR="00707123" w:rsidRPr="000C0F8F">
        <w:t>s related to demographic change</w:t>
      </w:r>
      <w:r w:rsidR="000C0F8F" w:rsidRPr="000C0F8F">
        <w:t>s</w:t>
      </w:r>
      <w:r w:rsidRPr="000C0F8F">
        <w:t>, both past and present, in relation to the socio-economic context and the question of sustainability.</w:t>
      </w:r>
    </w:p>
    <w:p w14:paraId="708EB418" w14:textId="77777777" w:rsidR="00B42874" w:rsidRPr="000C0F8F" w:rsidRDefault="00B42874" w:rsidP="00B42874">
      <w:pPr>
        <w:spacing w:line="240" w:lineRule="exact"/>
      </w:pPr>
      <w:r w:rsidRPr="000C0F8F">
        <w:t>By the end of the course, students will have learned:</w:t>
      </w:r>
    </w:p>
    <w:p w14:paraId="6CB6F853" w14:textId="7CAD8997" w:rsidR="00D923B2" w:rsidRPr="000C0F8F" w:rsidRDefault="004143A7" w:rsidP="004143A7">
      <w:pPr>
        <w:spacing w:line="240" w:lineRule="exact"/>
        <w:ind w:left="284" w:hanging="284"/>
      </w:pPr>
      <w:r w:rsidRPr="000C0F8F">
        <w:t>1.</w:t>
      </w:r>
      <w:r w:rsidRPr="000C0F8F">
        <w:tab/>
        <w:t>Knowledge of the fundamental issues, theories and indicators for demographic analysis (DD1 - Knowledge and understanding</w:t>
      </w:r>
      <w:proofErr w:type="gramStart"/>
      <w:r w:rsidRPr="000C0F8F">
        <w:t>);</w:t>
      </w:r>
      <w:proofErr w:type="gramEnd"/>
    </w:p>
    <w:p w14:paraId="42617F4A" w14:textId="778C5224" w:rsidR="00D923B2" w:rsidRPr="000C0F8F" w:rsidRDefault="004143A7" w:rsidP="004143A7">
      <w:pPr>
        <w:spacing w:line="240" w:lineRule="exact"/>
        <w:ind w:left="284" w:hanging="284"/>
      </w:pPr>
      <w:r w:rsidRPr="000C0F8F">
        <w:t>2.</w:t>
      </w:r>
      <w:r w:rsidRPr="000C0F8F">
        <w:tab/>
        <w:t>Ability to correctly apply quantitative methods for data processing and for the analysis of demographic dynamics; ability for qualitative interpretation of demographic phenomena in the light of modern theories on fertility, mortality and migration (DD2- Applying knowledge and understanding</w:t>
      </w:r>
      <w:proofErr w:type="gramStart"/>
      <w:r w:rsidRPr="000C0F8F">
        <w:t>);</w:t>
      </w:r>
      <w:proofErr w:type="gramEnd"/>
    </w:p>
    <w:p w14:paraId="315D0C88" w14:textId="70171A64" w:rsidR="00D923B2" w:rsidRPr="000C0F8F" w:rsidRDefault="004143A7" w:rsidP="004143A7">
      <w:pPr>
        <w:spacing w:line="240" w:lineRule="exact"/>
        <w:ind w:left="284" w:hanging="284"/>
      </w:pPr>
      <w:r w:rsidRPr="000C0F8F">
        <w:t>3.</w:t>
      </w:r>
      <w:r w:rsidRPr="000C0F8F">
        <w:tab/>
        <w:t xml:space="preserve">Acquisition of a capacity for critical thinking and independent judgment on the causes and effects of changes in the structure of the population, discussing the theories learned in the course (DD3- Making judgements). </w:t>
      </w:r>
    </w:p>
    <w:p w14:paraId="59B67E4B" w14:textId="05CB8EF8" w:rsidR="00D923B2" w:rsidRPr="000C0F8F" w:rsidRDefault="004143A7" w:rsidP="004143A7">
      <w:pPr>
        <w:spacing w:line="240" w:lineRule="exact"/>
        <w:ind w:left="284" w:hanging="284"/>
      </w:pPr>
      <w:r w:rsidRPr="000C0F8F">
        <w:t>4.</w:t>
      </w:r>
      <w:r w:rsidRPr="000C0F8F">
        <w:tab/>
        <w:t>Ability to read and comment on analysis reports, interpreting demographic transformations from a quantitative and qualitative point of view with specific technical language (DD4-Communication</w:t>
      </w:r>
      <w:r w:rsidR="007D73A3">
        <w:t xml:space="preserve"> skills</w:t>
      </w:r>
      <w:r w:rsidRPr="000C0F8F">
        <w:t xml:space="preserve">). </w:t>
      </w:r>
    </w:p>
    <w:p w14:paraId="4917E8A0" w14:textId="65542E0E" w:rsidR="00D923B2" w:rsidRPr="000C0F8F" w:rsidRDefault="004143A7" w:rsidP="004143A7">
      <w:pPr>
        <w:spacing w:line="240" w:lineRule="exact"/>
        <w:ind w:left="284" w:hanging="284"/>
      </w:pPr>
      <w:r w:rsidRPr="000C0F8F">
        <w:t>5.</w:t>
      </w:r>
      <w:r w:rsidRPr="000C0F8F">
        <w:tab/>
        <w:t xml:space="preserve">Useful skills to capture the long-term macro and micro effects of changes in population structure, with </w:t>
      </w:r>
      <w:proofErr w:type="gramStart"/>
      <w:r w:rsidRPr="000C0F8F">
        <w:t>particular reference</w:t>
      </w:r>
      <w:proofErr w:type="gramEnd"/>
      <w:r w:rsidRPr="000C0F8F">
        <w:t xml:space="preserve"> to the processes of transition to adulthood and aging, with a focus on the Italian context (DD5- Learning skills). </w:t>
      </w:r>
    </w:p>
    <w:p w14:paraId="354412C0" w14:textId="61B47382" w:rsidR="00D923B2" w:rsidRPr="000C0F8F" w:rsidRDefault="00D923B2" w:rsidP="00D923B2">
      <w:pPr>
        <w:spacing w:before="240" w:after="120" w:line="240" w:lineRule="exact"/>
        <w:rPr>
          <w:b/>
          <w:sz w:val="18"/>
        </w:rPr>
      </w:pPr>
      <w:r w:rsidRPr="000C0F8F">
        <w:rPr>
          <w:b/>
          <w:i/>
          <w:sz w:val="18"/>
        </w:rPr>
        <w:t>COURSE CONTENT</w:t>
      </w:r>
    </w:p>
    <w:p w14:paraId="0F901450" w14:textId="779B858D" w:rsidR="00D923B2" w:rsidRPr="000C0F8F" w:rsidRDefault="004143A7" w:rsidP="00D923B2">
      <w:pPr>
        <w:tabs>
          <w:tab w:val="clear" w:pos="284"/>
        </w:tabs>
        <w:ind w:left="284" w:hanging="284"/>
        <w:rPr>
          <w:szCs w:val="20"/>
        </w:rPr>
      </w:pPr>
      <w:r w:rsidRPr="000C0F8F">
        <w:t>1.</w:t>
      </w:r>
      <w:r w:rsidRPr="000C0F8F">
        <w:tab/>
      </w:r>
      <w:r w:rsidRPr="000C0F8F">
        <w:rPr>
          <w:i/>
          <w:iCs/>
          <w:szCs w:val="20"/>
        </w:rPr>
        <w:t xml:space="preserve">Analysis Tools </w:t>
      </w:r>
    </w:p>
    <w:p w14:paraId="2567FC42" w14:textId="34AAC882" w:rsidR="00D923B2" w:rsidRPr="000C0F8F" w:rsidRDefault="00D923B2" w:rsidP="00D923B2">
      <w:r w:rsidRPr="000C0F8F">
        <w:t>–</w:t>
      </w:r>
      <w:r w:rsidRPr="000C0F8F">
        <w:tab/>
        <w:t xml:space="preserve">Population </w:t>
      </w:r>
      <w:r w:rsidR="007D73A3">
        <w:t xml:space="preserve">data </w:t>
      </w:r>
      <w:r w:rsidRPr="000C0F8F">
        <w:t xml:space="preserve">sources and population balance equation. </w:t>
      </w:r>
    </w:p>
    <w:p w14:paraId="2145367C" w14:textId="3321DB04" w:rsidR="00D923B2" w:rsidRPr="000C0F8F" w:rsidRDefault="00D923B2" w:rsidP="00D923B2">
      <w:r w:rsidRPr="000C0F8F">
        <w:t>–</w:t>
      </w:r>
      <w:r w:rsidRPr="000C0F8F">
        <w:tab/>
        <w:t xml:space="preserve">Models of population growth. </w:t>
      </w:r>
    </w:p>
    <w:p w14:paraId="774809F6" w14:textId="58C90717" w:rsidR="00D923B2" w:rsidRPr="000C0F8F" w:rsidRDefault="00D923B2" w:rsidP="00D923B2">
      <w:r w:rsidRPr="000C0F8F">
        <w:t>–</w:t>
      </w:r>
      <w:r w:rsidRPr="000C0F8F">
        <w:tab/>
        <w:t xml:space="preserve">Age pyramid and structure indicators. </w:t>
      </w:r>
    </w:p>
    <w:p w14:paraId="6E8D2071" w14:textId="6DC05C34" w:rsidR="00D923B2" w:rsidRPr="000C0F8F" w:rsidRDefault="00D923B2" w:rsidP="00D923B2">
      <w:r w:rsidRPr="000C0F8F">
        <w:t>–</w:t>
      </w:r>
      <w:r w:rsidRPr="000C0F8F">
        <w:tab/>
        <w:t xml:space="preserve">Lexis diagram: rates and probabilities. </w:t>
      </w:r>
    </w:p>
    <w:p w14:paraId="37227BFF" w14:textId="6E37CD00" w:rsidR="00D923B2" w:rsidRPr="000C0F8F" w:rsidRDefault="00D923B2" w:rsidP="00D923B2">
      <w:r w:rsidRPr="000C0F8F">
        <w:t>–</w:t>
      </w:r>
      <w:r w:rsidRPr="000C0F8F">
        <w:tab/>
        <w:t xml:space="preserve">Mortality tables and health transition. </w:t>
      </w:r>
    </w:p>
    <w:p w14:paraId="40FBC3AC" w14:textId="052D6C1C" w:rsidR="00D923B2" w:rsidRPr="000C0F8F" w:rsidRDefault="00D923B2" w:rsidP="00D923B2">
      <w:r w:rsidRPr="000C0F8F">
        <w:t>–</w:t>
      </w:r>
      <w:r w:rsidRPr="000C0F8F">
        <w:tab/>
        <w:t>Fertility and reproductive transition.</w:t>
      </w:r>
    </w:p>
    <w:p w14:paraId="1E0621FD" w14:textId="5A983951" w:rsidR="00B42874" w:rsidRPr="000C0F8F" w:rsidRDefault="007D73A3" w:rsidP="00B42874">
      <w:pPr>
        <w:pStyle w:val="Paragrafoelenco"/>
        <w:numPr>
          <w:ilvl w:val="0"/>
          <w:numId w:val="3"/>
        </w:numPr>
        <w:ind w:left="284" w:hanging="284"/>
      </w:pPr>
      <w:r>
        <w:t xml:space="preserve">Couple formation and </w:t>
      </w:r>
      <w:proofErr w:type="gramStart"/>
      <w:r>
        <w:t>dissolution</w:t>
      </w:r>
      <w:r w:rsidR="00B42874" w:rsidRPr="000C0F8F">
        <w:t>;</w:t>
      </w:r>
      <w:proofErr w:type="gramEnd"/>
    </w:p>
    <w:p w14:paraId="3A9916A2" w14:textId="5643F7FC" w:rsidR="00B42874" w:rsidRPr="000C0F8F" w:rsidRDefault="007D73A3" w:rsidP="00B42874">
      <w:pPr>
        <w:pStyle w:val="Paragrafoelenco"/>
        <w:numPr>
          <w:ilvl w:val="0"/>
          <w:numId w:val="3"/>
        </w:numPr>
        <w:ind w:left="284" w:hanging="284"/>
      </w:pPr>
      <w:r>
        <w:t>Youth</w:t>
      </w:r>
      <w:r w:rsidR="00B42874" w:rsidRPr="000C0F8F">
        <w:t xml:space="preserve"> and transition to adulthood.</w:t>
      </w:r>
    </w:p>
    <w:p w14:paraId="158E75C1" w14:textId="048CD857" w:rsidR="00D923B2" w:rsidRPr="000C0F8F" w:rsidRDefault="004143A7" w:rsidP="004143A7">
      <w:pPr>
        <w:spacing w:before="120"/>
        <w:rPr>
          <w:i/>
          <w:szCs w:val="20"/>
        </w:rPr>
      </w:pPr>
      <w:r w:rsidRPr="000C0F8F">
        <w:t>2.</w:t>
      </w:r>
      <w:r w:rsidRPr="000C0F8F">
        <w:tab/>
      </w:r>
      <w:r w:rsidRPr="000C0F8F">
        <w:rPr>
          <w:i/>
          <w:iCs/>
          <w:szCs w:val="20"/>
        </w:rPr>
        <w:t xml:space="preserve">In-depth study paths </w:t>
      </w:r>
    </w:p>
    <w:p w14:paraId="15481F8B" w14:textId="2A544724" w:rsidR="00D923B2" w:rsidRPr="000C0F8F" w:rsidRDefault="00D923B2" w:rsidP="00D923B2">
      <w:pPr>
        <w:tabs>
          <w:tab w:val="clear" w:pos="284"/>
        </w:tabs>
        <w:ind w:left="284" w:hanging="284"/>
        <w:rPr>
          <w:szCs w:val="20"/>
        </w:rPr>
      </w:pPr>
      <w:r w:rsidRPr="000C0F8F">
        <w:lastRenderedPageBreak/>
        <w:t>–</w:t>
      </w:r>
      <w:r w:rsidRPr="000C0F8F">
        <w:tab/>
        <w:t xml:space="preserve">History of world demographic development. </w:t>
      </w:r>
    </w:p>
    <w:p w14:paraId="134BB19A" w14:textId="55F42458" w:rsidR="00B42874" w:rsidRPr="000C0F8F" w:rsidRDefault="00B42874" w:rsidP="00B42874">
      <w:pPr>
        <w:pStyle w:val="Paragrafoelenco"/>
        <w:numPr>
          <w:ilvl w:val="0"/>
          <w:numId w:val="4"/>
        </w:numPr>
        <w:ind w:left="426" w:hanging="426"/>
      </w:pPr>
      <w:r w:rsidRPr="000C0F8F">
        <w:t xml:space="preserve">Well-being, </w:t>
      </w:r>
      <w:proofErr w:type="gramStart"/>
      <w:r w:rsidRPr="000C0F8F">
        <w:t>sustainability</w:t>
      </w:r>
      <w:proofErr w:type="gramEnd"/>
      <w:r w:rsidRPr="000C0F8F">
        <w:t xml:space="preserve"> and demography.</w:t>
      </w:r>
    </w:p>
    <w:p w14:paraId="0AEED457" w14:textId="7E39F921" w:rsidR="00D923B2" w:rsidRPr="000C0F8F" w:rsidRDefault="00D923B2" w:rsidP="00D923B2">
      <w:pPr>
        <w:tabs>
          <w:tab w:val="clear" w:pos="284"/>
        </w:tabs>
        <w:ind w:left="284" w:hanging="284"/>
        <w:rPr>
          <w:szCs w:val="20"/>
        </w:rPr>
      </w:pPr>
      <w:r w:rsidRPr="000C0F8F">
        <w:t>–</w:t>
      </w:r>
      <w:r w:rsidRPr="000C0F8F">
        <w:tab/>
        <w:t xml:space="preserve">Migrations, </w:t>
      </w:r>
      <w:proofErr w:type="gramStart"/>
      <w:r w:rsidRPr="000C0F8F">
        <w:t>welfare</w:t>
      </w:r>
      <w:proofErr w:type="gramEnd"/>
      <w:r w:rsidRPr="000C0F8F">
        <w:t xml:space="preserve"> and attitudes. </w:t>
      </w:r>
    </w:p>
    <w:p w14:paraId="0754D3F8" w14:textId="54B4CFDF" w:rsidR="00D923B2" w:rsidRPr="000C0F8F" w:rsidRDefault="00D923B2" w:rsidP="00D923B2">
      <w:pPr>
        <w:tabs>
          <w:tab w:val="clear" w:pos="284"/>
        </w:tabs>
        <w:ind w:left="284" w:hanging="284"/>
        <w:rPr>
          <w:szCs w:val="20"/>
        </w:rPr>
      </w:pPr>
      <w:r w:rsidRPr="000C0F8F">
        <w:t>–</w:t>
      </w:r>
      <w:r w:rsidRPr="000C0F8F">
        <w:tab/>
        <w:t xml:space="preserve">Demography and economics. </w:t>
      </w:r>
    </w:p>
    <w:p w14:paraId="2EE7E3D0" w14:textId="2EC92374" w:rsidR="00D923B2" w:rsidRPr="000C0F8F" w:rsidRDefault="00AE7B05" w:rsidP="004143A7">
      <w:pPr>
        <w:spacing w:before="240" w:after="120"/>
        <w:rPr>
          <w:b/>
          <w:i/>
          <w:sz w:val="18"/>
        </w:rPr>
      </w:pPr>
      <w:r w:rsidRPr="000C0F8F">
        <w:rPr>
          <w:b/>
          <w:i/>
          <w:sz w:val="18"/>
        </w:rPr>
        <w:t>READING LIST</w:t>
      </w:r>
    </w:p>
    <w:p w14:paraId="111B5C1C" w14:textId="61AF4ECF" w:rsidR="00D923B2" w:rsidRPr="00B22DDB" w:rsidRDefault="00D923B2" w:rsidP="004143A7">
      <w:pPr>
        <w:pStyle w:val="Testo2"/>
        <w:ind w:firstLine="0"/>
        <w:rPr>
          <w:noProof w:val="0"/>
          <w:lang w:val="it-IT"/>
        </w:rPr>
      </w:pPr>
      <w:r w:rsidRPr="00B22DDB">
        <w:rPr>
          <w:smallCaps/>
          <w:sz w:val="16"/>
          <w:lang w:val="it-IT"/>
        </w:rPr>
        <w:t>A. Rosina</w:t>
      </w:r>
      <w:r w:rsidR="00A6750A" w:rsidRPr="00B22DDB">
        <w:rPr>
          <w:smallCaps/>
          <w:sz w:val="16"/>
          <w:lang w:val="it-IT"/>
        </w:rPr>
        <w:t xml:space="preserve"> </w:t>
      </w:r>
      <w:r w:rsidRPr="00B22DDB">
        <w:rPr>
          <w:smallCaps/>
          <w:sz w:val="16"/>
          <w:lang w:val="it-IT"/>
        </w:rPr>
        <w:t>-</w:t>
      </w:r>
      <w:r w:rsidR="00A6750A" w:rsidRPr="00B22DDB">
        <w:rPr>
          <w:smallCaps/>
          <w:sz w:val="16"/>
          <w:lang w:val="it-IT"/>
        </w:rPr>
        <w:t xml:space="preserve"> </w:t>
      </w:r>
      <w:r w:rsidRPr="00B22DDB">
        <w:rPr>
          <w:smallCaps/>
          <w:sz w:val="16"/>
          <w:lang w:val="it-IT"/>
        </w:rPr>
        <w:t>A. De Rose,</w:t>
      </w:r>
      <w:r w:rsidRPr="00B22DDB">
        <w:rPr>
          <w:i/>
          <w:lang w:val="it-IT"/>
        </w:rPr>
        <w:t xml:space="preserve"> </w:t>
      </w:r>
      <w:r w:rsidR="00B22DDB" w:rsidRPr="00B22DDB">
        <w:rPr>
          <w:i/>
          <w:lang w:val="it-IT"/>
        </w:rPr>
        <w:t>Introduzione all</w:t>
      </w:r>
      <w:r w:rsidR="00B22DDB">
        <w:rPr>
          <w:i/>
          <w:lang w:val="it-IT"/>
        </w:rPr>
        <w:t xml:space="preserve">a </w:t>
      </w:r>
      <w:r w:rsidRPr="00B22DDB">
        <w:rPr>
          <w:i/>
          <w:lang w:val="it-IT"/>
        </w:rPr>
        <w:t>Demografia,</w:t>
      </w:r>
      <w:r w:rsidRPr="00B22DDB">
        <w:rPr>
          <w:lang w:val="it-IT"/>
        </w:rPr>
        <w:t xml:space="preserve"> Egea, 20</w:t>
      </w:r>
      <w:r w:rsidR="00B22DDB">
        <w:rPr>
          <w:lang w:val="it-IT"/>
        </w:rPr>
        <w:t>22</w:t>
      </w:r>
    </w:p>
    <w:p w14:paraId="61A964D4" w14:textId="19AB1E44" w:rsidR="00D923B2" w:rsidRPr="000C0F8F" w:rsidRDefault="00D923B2" w:rsidP="004143A7">
      <w:pPr>
        <w:pStyle w:val="Testo2"/>
        <w:ind w:firstLine="0"/>
        <w:rPr>
          <w:noProof w:val="0"/>
        </w:rPr>
      </w:pPr>
      <w:r w:rsidRPr="000C0F8F">
        <w:t xml:space="preserve">Material edited by lecturers and published on Blackboard. </w:t>
      </w:r>
    </w:p>
    <w:p w14:paraId="3A8DFDDF" w14:textId="62318CDE" w:rsidR="00D923B2" w:rsidRPr="000C0F8F" w:rsidRDefault="00D923B2" w:rsidP="004143A7">
      <w:pPr>
        <w:pStyle w:val="Testo2"/>
        <w:ind w:firstLine="0"/>
        <w:rPr>
          <w:noProof w:val="0"/>
        </w:rPr>
      </w:pPr>
      <w:r w:rsidRPr="000C0F8F">
        <w:t>Articles and in-depth readings indicated by lecturers and available on Blackboard.</w:t>
      </w:r>
    </w:p>
    <w:p w14:paraId="74511A37" w14:textId="2C943EB1" w:rsidR="00D923B2" w:rsidRPr="000C0F8F" w:rsidRDefault="00AE7B05" w:rsidP="00D923B2">
      <w:pPr>
        <w:spacing w:before="240" w:after="120"/>
        <w:rPr>
          <w:b/>
          <w:i/>
          <w:sz w:val="18"/>
        </w:rPr>
      </w:pPr>
      <w:r w:rsidRPr="000C0F8F">
        <w:rPr>
          <w:b/>
          <w:i/>
          <w:sz w:val="18"/>
        </w:rPr>
        <w:t>TEACHING METHOD</w:t>
      </w:r>
    </w:p>
    <w:p w14:paraId="6667B7C0" w14:textId="69220297" w:rsidR="00D923B2" w:rsidRPr="000C0F8F" w:rsidRDefault="00505DB1" w:rsidP="00D923B2">
      <w:pPr>
        <w:pStyle w:val="Testo2"/>
        <w:rPr>
          <w:noProof w:val="0"/>
        </w:rPr>
      </w:pPr>
      <w:r w:rsidRPr="000C0F8F">
        <w:t xml:space="preserve">Lectures and practical exercises, with possible guest speakers. </w:t>
      </w:r>
    </w:p>
    <w:p w14:paraId="238730FD" w14:textId="77777777" w:rsidR="00AE7B05" w:rsidRPr="000C0F8F" w:rsidRDefault="00AE7B05" w:rsidP="00AE7B05">
      <w:pPr>
        <w:spacing w:before="240" w:after="120"/>
        <w:rPr>
          <w:b/>
          <w:i/>
          <w:sz w:val="18"/>
        </w:rPr>
      </w:pPr>
      <w:r w:rsidRPr="000C0F8F">
        <w:rPr>
          <w:b/>
          <w:i/>
          <w:sz w:val="18"/>
        </w:rPr>
        <w:t>ASSESSMENT METHOD AND CRITERIA</w:t>
      </w:r>
    </w:p>
    <w:p w14:paraId="2A295BBC" w14:textId="21F6007C" w:rsidR="00D923B2" w:rsidRPr="000C0F8F" w:rsidRDefault="00505DB1" w:rsidP="005F53A3">
      <w:pPr>
        <w:pStyle w:val="Testo2"/>
      </w:pPr>
      <w:r w:rsidRPr="000C0F8F">
        <w:t xml:space="preserve">The exam will be written and will consist of open-ended questions and exercises. It will take place at the end of the course. </w:t>
      </w:r>
    </w:p>
    <w:p w14:paraId="35F3F90B" w14:textId="2C263BD1" w:rsidR="00B42874" w:rsidRPr="000C0F8F" w:rsidRDefault="00B42874" w:rsidP="00B42874">
      <w:pPr>
        <w:pStyle w:val="Testo2"/>
      </w:pPr>
      <w:r w:rsidRPr="000C0F8F">
        <w:t>The open questions are designed not only to assess students’ knowledge of basic course content, but also their ability to apply the concepts and tools learned during the course to analysing contemporary demographic phenomena. The exercises, on the other hand, are designed to assess students’ ability to use statistical tools for analysing demographic data.</w:t>
      </w:r>
    </w:p>
    <w:p w14:paraId="6BA5FC8D" w14:textId="7E828374" w:rsidR="00B42874" w:rsidRPr="000C0F8F" w:rsidRDefault="00B42874" w:rsidP="00B42874">
      <w:pPr>
        <w:pStyle w:val="Testo2"/>
      </w:pPr>
      <w:r w:rsidRPr="000C0F8F">
        <w:t xml:space="preserve">As an alternative, students </w:t>
      </w:r>
      <w:r w:rsidR="000C0F8F" w:rsidRPr="000C0F8F">
        <w:t>may</w:t>
      </w:r>
      <w:r w:rsidRPr="000C0F8F">
        <w:t xml:space="preserve"> choose to take the exam in two parts, the first at the end of semester 1, the second at the end of the whole course, with the same type of questions and exercises as the gene</w:t>
      </w:r>
      <w:r w:rsidR="00707123" w:rsidRPr="000C0F8F">
        <w:t>ral test. Each of these partial exams</w:t>
      </w:r>
      <w:r w:rsidRPr="000C0F8F">
        <w:t xml:space="preserve"> will be worth half of the final mark.</w:t>
      </w:r>
    </w:p>
    <w:p w14:paraId="75B961E8" w14:textId="77777777" w:rsidR="00B42874" w:rsidRPr="000C0F8F" w:rsidRDefault="00B42874" w:rsidP="00B42874">
      <w:pPr>
        <w:pStyle w:val="Testo2"/>
        <w:spacing w:before="240" w:after="120"/>
        <w:ind w:firstLine="0"/>
        <w:rPr>
          <w:rFonts w:eastAsia="Arial Unicode MS"/>
          <w:b/>
          <w:i/>
          <w:noProof w:val="0"/>
        </w:rPr>
      </w:pPr>
      <w:r w:rsidRPr="000C0F8F">
        <w:rPr>
          <w:b/>
          <w:i/>
        </w:rPr>
        <w:t>NOTES AND PREREQUISITES</w:t>
      </w:r>
    </w:p>
    <w:p w14:paraId="3BDE6DD4" w14:textId="77777777" w:rsidR="00B42874" w:rsidRPr="000C0F8F" w:rsidRDefault="00B42874" w:rsidP="00B42874">
      <w:pPr>
        <w:tabs>
          <w:tab w:val="clear" w:pos="284"/>
        </w:tabs>
        <w:spacing w:before="120" w:line="259" w:lineRule="auto"/>
        <w:ind w:firstLine="284"/>
        <w:jc w:val="left"/>
        <w:rPr>
          <w:rFonts w:eastAsiaTheme="minorHAnsi"/>
          <w:sz w:val="18"/>
          <w:szCs w:val="18"/>
        </w:rPr>
      </w:pPr>
      <w:r w:rsidRPr="000C0F8F">
        <w:rPr>
          <w:sz w:val="18"/>
          <w:szCs w:val="18"/>
        </w:rPr>
        <w:t>In case the current Covid-19 health emergency does not allow frontal teaching, remote teaching will be carried out following procedures that will be promptly notified to students.</w:t>
      </w:r>
    </w:p>
    <w:p w14:paraId="776DFC1A" w14:textId="0BA5E11A" w:rsidR="005F53A3" w:rsidRDefault="005F53A3" w:rsidP="005F53A3">
      <w:pPr>
        <w:pStyle w:val="Testo2"/>
        <w:rPr>
          <w:rFonts w:eastAsia="Arial Unicode MS"/>
          <w:noProof w:val="0"/>
        </w:rPr>
      </w:pPr>
      <w:r w:rsidRPr="000C0F8F">
        <w:t>Further information can be found on the lecturer's webpage at http://docenti.unicatt.it/web/searchByName.do?language=ENG, or on the Faculty notice board.</w:t>
      </w:r>
    </w:p>
    <w:p w14:paraId="5218A92A" w14:textId="48CC7917" w:rsidR="00EC3332" w:rsidRPr="00F25634" w:rsidRDefault="00EC3332" w:rsidP="00D923B2">
      <w:pPr>
        <w:pStyle w:val="Testo2"/>
        <w:rPr>
          <w:noProof w:val="0"/>
        </w:rPr>
      </w:pPr>
    </w:p>
    <w:sectPr w:rsidR="00EC3332" w:rsidRPr="00F256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AAE4" w14:textId="77777777" w:rsidR="00464757" w:rsidRDefault="00464757" w:rsidP="00D923B2">
      <w:pPr>
        <w:spacing w:line="240" w:lineRule="auto"/>
      </w:pPr>
      <w:r>
        <w:separator/>
      </w:r>
    </w:p>
  </w:endnote>
  <w:endnote w:type="continuationSeparator" w:id="0">
    <w:p w14:paraId="00C30CF9" w14:textId="77777777" w:rsidR="00464757" w:rsidRDefault="00464757" w:rsidP="00D92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E50A" w14:textId="77777777" w:rsidR="00464757" w:rsidRDefault="00464757" w:rsidP="00D923B2">
      <w:pPr>
        <w:spacing w:line="240" w:lineRule="auto"/>
      </w:pPr>
      <w:r>
        <w:separator/>
      </w:r>
    </w:p>
  </w:footnote>
  <w:footnote w:type="continuationSeparator" w:id="0">
    <w:p w14:paraId="5157B0FD" w14:textId="77777777" w:rsidR="00464757" w:rsidRDefault="00464757" w:rsidP="00D923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E4A34"/>
    <w:multiLevelType w:val="hybridMultilevel"/>
    <w:tmpl w:val="F8CA0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E85EB1"/>
    <w:multiLevelType w:val="hybridMultilevel"/>
    <w:tmpl w:val="132E5378"/>
    <w:lvl w:ilvl="0" w:tplc="D3CA7B4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8A4442"/>
    <w:multiLevelType w:val="hybridMultilevel"/>
    <w:tmpl w:val="A8789682"/>
    <w:lvl w:ilvl="0" w:tplc="D3CA7B4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4340244">
    <w:abstractNumId w:val="3"/>
  </w:num>
  <w:num w:numId="2" w16cid:durableId="691296513">
    <w:abstractNumId w:val="0"/>
  </w:num>
  <w:num w:numId="3" w16cid:durableId="707216374">
    <w:abstractNumId w:val="2"/>
  </w:num>
  <w:num w:numId="4" w16cid:durableId="1348366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C0"/>
    <w:rsid w:val="000C0F8F"/>
    <w:rsid w:val="00187B99"/>
    <w:rsid w:val="002014DD"/>
    <w:rsid w:val="002159C6"/>
    <w:rsid w:val="002D3A00"/>
    <w:rsid w:val="002D5E17"/>
    <w:rsid w:val="00396A43"/>
    <w:rsid w:val="003C3A47"/>
    <w:rsid w:val="004143A7"/>
    <w:rsid w:val="00464757"/>
    <w:rsid w:val="004D1217"/>
    <w:rsid w:val="004D6008"/>
    <w:rsid w:val="00505DB1"/>
    <w:rsid w:val="00545EC3"/>
    <w:rsid w:val="005A230B"/>
    <w:rsid w:val="005F53A3"/>
    <w:rsid w:val="00640794"/>
    <w:rsid w:val="00676FC0"/>
    <w:rsid w:val="00692F7A"/>
    <w:rsid w:val="006F1772"/>
    <w:rsid w:val="00707123"/>
    <w:rsid w:val="007249E8"/>
    <w:rsid w:val="007B3D2E"/>
    <w:rsid w:val="007D3A5C"/>
    <w:rsid w:val="007D73A3"/>
    <w:rsid w:val="008942E7"/>
    <w:rsid w:val="008A1204"/>
    <w:rsid w:val="00900CCA"/>
    <w:rsid w:val="00924B77"/>
    <w:rsid w:val="00940DA2"/>
    <w:rsid w:val="009A4A65"/>
    <w:rsid w:val="009E055C"/>
    <w:rsid w:val="00A52945"/>
    <w:rsid w:val="00A6750A"/>
    <w:rsid w:val="00A74F6F"/>
    <w:rsid w:val="00AD7557"/>
    <w:rsid w:val="00AE7B05"/>
    <w:rsid w:val="00B20474"/>
    <w:rsid w:val="00B22DDB"/>
    <w:rsid w:val="00B42874"/>
    <w:rsid w:val="00B50C5D"/>
    <w:rsid w:val="00B51253"/>
    <w:rsid w:val="00B525CC"/>
    <w:rsid w:val="00BC2F9C"/>
    <w:rsid w:val="00D021B5"/>
    <w:rsid w:val="00D404F2"/>
    <w:rsid w:val="00D411CF"/>
    <w:rsid w:val="00D923B2"/>
    <w:rsid w:val="00DA21B8"/>
    <w:rsid w:val="00DB1856"/>
    <w:rsid w:val="00E04817"/>
    <w:rsid w:val="00E607E6"/>
    <w:rsid w:val="00E64E03"/>
    <w:rsid w:val="00EC3332"/>
    <w:rsid w:val="00F074D5"/>
    <w:rsid w:val="00F25634"/>
    <w:rsid w:val="00F446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D5812"/>
  <w15:chartTrackingRefBased/>
  <w15:docId w15:val="{A6C7893D-AFBE-4E5B-8F1D-F4BEF810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23B2"/>
    <w:pPr>
      <w:spacing w:line="240" w:lineRule="exact"/>
      <w:ind w:left="720"/>
      <w:contextualSpacing/>
    </w:pPr>
  </w:style>
  <w:style w:type="character" w:styleId="Collegamentoipertestuale">
    <w:name w:val="Hyperlink"/>
    <w:basedOn w:val="Carpredefinitoparagrafo"/>
    <w:unhideWhenUsed/>
    <w:rsid w:val="00D923B2"/>
    <w:rPr>
      <w:color w:val="0563C1" w:themeColor="hyperlink"/>
      <w:u w:val="single"/>
    </w:rPr>
  </w:style>
  <w:style w:type="paragraph" w:styleId="Testonotaapidipagina">
    <w:name w:val="footnote text"/>
    <w:basedOn w:val="Normale"/>
    <w:link w:val="TestonotaapidipaginaCarattere"/>
    <w:rsid w:val="00D923B2"/>
    <w:pPr>
      <w:spacing w:line="240" w:lineRule="auto"/>
    </w:pPr>
    <w:rPr>
      <w:szCs w:val="20"/>
    </w:rPr>
  </w:style>
  <w:style w:type="character" w:customStyle="1" w:styleId="TestonotaapidipaginaCarattere">
    <w:name w:val="Testo nota a piè di pagina Carattere"/>
    <w:basedOn w:val="Carpredefinitoparagrafo"/>
    <w:link w:val="Testonotaapidipagina"/>
    <w:rsid w:val="00D923B2"/>
  </w:style>
  <w:style w:type="character" w:styleId="Rimandonotaapidipagina">
    <w:name w:val="footnote reference"/>
    <w:basedOn w:val="Carpredefinitoparagrafo"/>
    <w:rsid w:val="00D92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06469">
      <w:bodyDiv w:val="1"/>
      <w:marLeft w:val="0"/>
      <w:marRight w:val="0"/>
      <w:marTop w:val="0"/>
      <w:marBottom w:val="0"/>
      <w:divBdr>
        <w:top w:val="none" w:sz="0" w:space="0" w:color="auto"/>
        <w:left w:val="none" w:sz="0" w:space="0" w:color="auto"/>
        <w:bottom w:val="none" w:sz="0" w:space="0" w:color="auto"/>
        <w:right w:val="none" w:sz="0" w:space="0" w:color="auto"/>
      </w:divBdr>
    </w:div>
    <w:div w:id="15483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8CC6-EB86-46E6-BEDD-7F4E7F1E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529</Words>
  <Characters>3136</Characters>
  <Application>Microsoft Office Word</Application>
  <DocSecurity>4</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2022-07-01T13:19:00Z</dcterms:created>
  <dcterms:modified xsi:type="dcterms:W3CDTF">2022-07-01T13:19:00Z</dcterms:modified>
</cp:coreProperties>
</file>